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18A7235A"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37131255" w14:textId="35AB3EEE"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7F6891" w:rsidRPr="000C7CD0">
        <w:rPr>
          <w:rFonts w:ascii="Times New Roman" w:hAnsi="Times New Roman"/>
          <w:sz w:val="28"/>
          <w:szCs w:val="28"/>
        </w:rPr>
        <w:t xml:space="preserve">                         </w:t>
      </w:r>
    </w:p>
    <w:p w14:paraId="797DB69C" w14:textId="1DC53A75"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09DCE920"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r w:rsidR="007F625B">
        <w:rPr>
          <w:rFonts w:ascii="Times New Roman" w:hAnsi="Times New Roman"/>
          <w:bCs/>
          <w:color w:val="1B5051"/>
          <w:sz w:val="28"/>
          <w:szCs w:val="28"/>
          <w:lang w:val="fr-FR"/>
        </w:rPr>
        <w:t xml:space="preserve"> </w:t>
      </w:r>
      <w:r w:rsidR="00DD3EDD">
        <w:rPr>
          <w:rFonts w:ascii="Times New Roman" w:hAnsi="Times New Roman"/>
          <w:bCs/>
          <w:color w:val="1B5051"/>
          <w:sz w:val="28"/>
          <w:szCs w:val="28"/>
          <w:lang w:val="fr-FR"/>
        </w:rPr>
        <w:t>2058</w:t>
      </w:r>
      <w:r w:rsidR="005069F6" w:rsidRPr="000C7CD0">
        <w:rPr>
          <w:rFonts w:ascii="Times New Roman" w:hAnsi="Times New Roman"/>
          <w:bCs/>
          <w:color w:val="1B5051"/>
          <w:sz w:val="28"/>
          <w:szCs w:val="28"/>
          <w:lang w:val="fr-FR"/>
        </w:rPr>
        <w:t>/</w:t>
      </w:r>
      <w:r w:rsidR="00337C07">
        <w:rPr>
          <w:rFonts w:ascii="Times New Roman" w:hAnsi="Times New Roman"/>
          <w:bCs/>
          <w:color w:val="1B5051"/>
          <w:sz w:val="28"/>
          <w:szCs w:val="28"/>
          <w:lang w:val="fr-FR"/>
        </w:rPr>
        <w:t>2</w:t>
      </w:r>
      <w:r w:rsidR="00DD3EDD">
        <w:rPr>
          <w:rFonts w:ascii="Times New Roman" w:hAnsi="Times New Roman"/>
          <w:bCs/>
          <w:color w:val="1B5051"/>
          <w:sz w:val="28"/>
          <w:szCs w:val="28"/>
          <w:lang w:val="fr-FR"/>
        </w:rPr>
        <w:t>4</w:t>
      </w:r>
      <w:r w:rsidR="00337C07">
        <w:rPr>
          <w:rFonts w:ascii="Times New Roman" w:hAnsi="Times New Roman"/>
          <w:bCs/>
          <w:color w:val="1B5051"/>
          <w:sz w:val="28"/>
          <w:szCs w:val="28"/>
          <w:lang w:val="fr-FR"/>
        </w:rPr>
        <w:t>.03.2023</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73295A74" w14:textId="1AD5E1E0" w:rsidR="00802A6C"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9787" w:type="dxa"/>
        <w:tblInd w:w="-252" w:type="dxa"/>
        <w:tblLayout w:type="fixed"/>
        <w:tblLook w:val="01E0" w:firstRow="1" w:lastRow="1" w:firstColumn="1" w:lastColumn="1" w:noHBand="0" w:noVBand="0"/>
      </w:tblPr>
      <w:tblGrid>
        <w:gridCol w:w="575"/>
        <w:gridCol w:w="2642"/>
        <w:gridCol w:w="2880"/>
        <w:gridCol w:w="1800"/>
        <w:gridCol w:w="1890"/>
      </w:tblGrid>
      <w:tr w:rsidR="00337C07" w:rsidRPr="0005691D" w14:paraId="0F2B9B2A" w14:textId="77777777" w:rsidTr="00DD3EDD">
        <w:trPr>
          <w:trHeight w:val="650"/>
        </w:trPr>
        <w:tc>
          <w:tcPr>
            <w:tcW w:w="575" w:type="dxa"/>
          </w:tcPr>
          <w:p w14:paraId="1D89267B"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crt.</w:t>
            </w:r>
          </w:p>
        </w:tc>
        <w:tc>
          <w:tcPr>
            <w:tcW w:w="2642" w:type="dxa"/>
          </w:tcPr>
          <w:p w14:paraId="60DD5E8C" w14:textId="1AECBD76"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880" w:type="dxa"/>
          </w:tcPr>
          <w:p w14:paraId="0C68E439" w14:textId="65487497"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800" w:type="dxa"/>
          </w:tcPr>
          <w:p w14:paraId="2781074A" w14:textId="52AB304D"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Felul postului</w:t>
            </w:r>
          </w:p>
        </w:tc>
        <w:tc>
          <w:tcPr>
            <w:tcW w:w="1890" w:type="dxa"/>
          </w:tcPr>
          <w:p w14:paraId="1C0160FA" w14:textId="77777777" w:rsidR="00337C07" w:rsidRPr="0005691D" w:rsidRDefault="00337C07"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r>
      <w:tr w:rsidR="00337C07" w:rsidRPr="0005691D" w14:paraId="3C2235F3" w14:textId="77777777" w:rsidTr="00DD3EDD">
        <w:trPr>
          <w:trHeight w:val="634"/>
        </w:trPr>
        <w:tc>
          <w:tcPr>
            <w:tcW w:w="575" w:type="dxa"/>
          </w:tcPr>
          <w:p w14:paraId="16EC55D4" w14:textId="77777777"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1.</w:t>
            </w:r>
          </w:p>
        </w:tc>
        <w:tc>
          <w:tcPr>
            <w:tcW w:w="2642" w:type="dxa"/>
          </w:tcPr>
          <w:p w14:paraId="03A56901" w14:textId="0B92CBB5" w:rsidR="00337C07" w:rsidRPr="0005691D" w:rsidRDefault="00337C07" w:rsidP="008C477F">
            <w:pPr>
              <w:jc w:val="both"/>
              <w:rPr>
                <w:rFonts w:ascii="Times New Roman" w:hAnsi="Times New Roman"/>
                <w:sz w:val="24"/>
                <w:szCs w:val="24"/>
              </w:rPr>
            </w:pPr>
            <w:r w:rsidRPr="0005691D">
              <w:rPr>
                <w:rFonts w:ascii="Times New Roman" w:hAnsi="Times New Roman"/>
                <w:sz w:val="24"/>
                <w:szCs w:val="24"/>
              </w:rPr>
              <w:t>MEDIC SPECIALIST</w:t>
            </w:r>
          </w:p>
        </w:tc>
        <w:tc>
          <w:tcPr>
            <w:tcW w:w="2880" w:type="dxa"/>
          </w:tcPr>
          <w:p w14:paraId="66F0013D" w14:textId="080A94AE" w:rsidR="00337C07" w:rsidRPr="0005691D" w:rsidRDefault="00337C07" w:rsidP="008C477F">
            <w:pPr>
              <w:jc w:val="center"/>
              <w:rPr>
                <w:rFonts w:ascii="Times New Roman" w:hAnsi="Times New Roman"/>
                <w:sz w:val="24"/>
                <w:szCs w:val="24"/>
              </w:rPr>
            </w:pPr>
            <w:r>
              <w:rPr>
                <w:rFonts w:ascii="Times New Roman" w:hAnsi="Times New Roman"/>
                <w:sz w:val="24"/>
                <w:szCs w:val="24"/>
              </w:rPr>
              <w:t>ENDOCRINOLOGIE</w:t>
            </w:r>
          </w:p>
        </w:tc>
        <w:tc>
          <w:tcPr>
            <w:tcW w:w="1800" w:type="dxa"/>
          </w:tcPr>
          <w:p w14:paraId="7BBA0DAC" w14:textId="2F0827EA" w:rsidR="00337C07" w:rsidRPr="0005691D" w:rsidRDefault="00337C07" w:rsidP="008C477F">
            <w:pPr>
              <w:jc w:val="center"/>
              <w:rPr>
                <w:rFonts w:ascii="Times New Roman" w:hAnsi="Times New Roman"/>
                <w:sz w:val="24"/>
                <w:szCs w:val="24"/>
              </w:rPr>
            </w:pPr>
            <w:r w:rsidRPr="0005691D">
              <w:rPr>
                <w:rFonts w:ascii="Times New Roman" w:hAnsi="Times New Roman"/>
                <w:sz w:val="24"/>
                <w:szCs w:val="24"/>
              </w:rPr>
              <w:t>vacant</w:t>
            </w:r>
          </w:p>
        </w:tc>
        <w:tc>
          <w:tcPr>
            <w:tcW w:w="1890" w:type="dxa"/>
          </w:tcPr>
          <w:p w14:paraId="2BAB762C" w14:textId="79E340FC" w:rsidR="00337C07" w:rsidRPr="0005691D" w:rsidRDefault="00337C07" w:rsidP="008C477F">
            <w:pPr>
              <w:jc w:val="center"/>
              <w:rPr>
                <w:rFonts w:ascii="Times New Roman" w:hAnsi="Times New Roman"/>
                <w:sz w:val="24"/>
                <w:szCs w:val="24"/>
              </w:rPr>
            </w:pPr>
            <w:r>
              <w:rPr>
                <w:rFonts w:ascii="Times New Roman" w:hAnsi="Times New Roman"/>
                <w:sz w:val="24"/>
                <w:szCs w:val="24"/>
              </w:rPr>
              <w:t>1</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12506896" w14:textId="3540AA47"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31C8F1B3" w14:textId="77777777" w:rsidR="000C7CD0" w:rsidRPr="007F625B" w:rsidRDefault="000C7CD0" w:rsidP="007F625B">
      <w:pPr>
        <w:tabs>
          <w:tab w:val="left" w:pos="1155"/>
        </w:tabs>
        <w:jc w:val="both"/>
        <w:rPr>
          <w:rFonts w:ascii="Times New Roman" w:eastAsia="Times New Roman" w:hAnsi="Times New Roman"/>
          <w:sz w:val="28"/>
          <w:szCs w:val="28"/>
          <w:lang w:val="es-ES"/>
        </w:rPr>
      </w:pP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0A10C0D5" w14:textId="61776A67"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b) Copia xerox de pe diploma de licență și adeverință/certificat de confirmare în gradul profesional;</w:t>
      </w:r>
    </w:p>
    <w:p w14:paraId="3FC250EB" w14:textId="7B370E1F"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3B51649C" w14:textId="0FE56CE9" w:rsid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6F8FD27A" w14:textId="1E40FC42" w:rsidR="00AB3969" w:rsidRDefault="00AB3969" w:rsidP="00577566">
      <w:pPr>
        <w:tabs>
          <w:tab w:val="left" w:pos="1155"/>
        </w:tabs>
        <w:jc w:val="both"/>
        <w:rPr>
          <w:rFonts w:ascii="Times New Roman" w:eastAsia="Times New Roman" w:hAnsi="Times New Roman"/>
          <w:sz w:val="28"/>
          <w:szCs w:val="28"/>
          <w:lang w:val="es-ES"/>
        </w:rPr>
      </w:pPr>
    </w:p>
    <w:p w14:paraId="3E1A3B6E" w14:textId="0F66C16E" w:rsidR="00A717AD" w:rsidRDefault="00A717AD" w:rsidP="00577566">
      <w:pPr>
        <w:tabs>
          <w:tab w:val="left" w:pos="1155"/>
        </w:tabs>
        <w:jc w:val="both"/>
        <w:rPr>
          <w:rFonts w:ascii="Times New Roman" w:eastAsia="Times New Roman" w:hAnsi="Times New Roman"/>
          <w:sz w:val="28"/>
          <w:szCs w:val="28"/>
          <w:lang w:val="es-ES"/>
        </w:rPr>
      </w:pPr>
    </w:p>
    <w:p w14:paraId="741763F6" w14:textId="4062CDC0" w:rsidR="00A717AD" w:rsidRDefault="00A717AD" w:rsidP="00577566">
      <w:pPr>
        <w:tabs>
          <w:tab w:val="left" w:pos="1155"/>
        </w:tabs>
        <w:jc w:val="both"/>
        <w:rPr>
          <w:rFonts w:ascii="Times New Roman" w:eastAsia="Times New Roman" w:hAnsi="Times New Roman"/>
          <w:sz w:val="28"/>
          <w:szCs w:val="28"/>
          <w:lang w:val="es-ES"/>
        </w:rPr>
      </w:pPr>
    </w:p>
    <w:p w14:paraId="297C227B" w14:textId="77777777" w:rsidR="00A717AD" w:rsidRDefault="00A717AD" w:rsidP="00577566">
      <w:pPr>
        <w:tabs>
          <w:tab w:val="left" w:pos="1155"/>
        </w:tabs>
        <w:jc w:val="both"/>
        <w:rPr>
          <w:rFonts w:ascii="Times New Roman" w:eastAsia="Times New Roman" w:hAnsi="Times New Roman"/>
          <w:sz w:val="28"/>
          <w:szCs w:val="28"/>
          <w:lang w:val="es-ES"/>
        </w:rPr>
      </w:pP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51C93726" w14:textId="7DE42C07" w:rsidR="00411EEC" w:rsidRP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43F94B42" w14:textId="1FF7655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1E6611F5" w:rsid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4CCBB54D" w14:textId="77777777" w:rsidR="00DD3EDD" w:rsidRPr="00411EEC" w:rsidRDefault="00DD3EDD" w:rsidP="00411EEC">
      <w:pPr>
        <w:tabs>
          <w:tab w:val="left" w:pos="1155"/>
        </w:tabs>
        <w:jc w:val="both"/>
        <w:rPr>
          <w:rFonts w:ascii="Times New Roman" w:eastAsia="Times New Roman" w:hAnsi="Times New Roman"/>
          <w:sz w:val="28"/>
          <w:szCs w:val="28"/>
          <w:lang w:val="es-ES"/>
        </w:rPr>
      </w:pPr>
    </w:p>
    <w:p w14:paraId="0CF16CD6" w14:textId="592F1276" w:rsid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r w:rsidRPr="00411EEC">
        <w:rPr>
          <w:rFonts w:ascii="Times New Roman" w:eastAsia="Times New Roman" w:hAnsi="Times New Roman"/>
          <w:sz w:val="28"/>
          <w:szCs w:val="28"/>
          <w:lang w:val="es-ES"/>
        </w:rPr>
        <w:tab/>
      </w:r>
    </w:p>
    <w:p w14:paraId="072DDFA9" w14:textId="3CB8DDBC"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3946BA64" w14:textId="7653250F" w:rsidR="00DD3EDD"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 xml:space="preserve">depunere dosare de concurs - În termen de 10 zile  lucrătoare de la data afișării </w:t>
      </w:r>
      <w:r w:rsidR="00DD3EDD" w:rsidRPr="00DD3EDD">
        <w:rPr>
          <w:rFonts w:ascii="Times New Roman" w:eastAsia="Times New Roman" w:hAnsi="Times New Roman"/>
          <w:sz w:val="28"/>
          <w:szCs w:val="28"/>
          <w:lang w:val="es-ES"/>
        </w:rPr>
        <w:t xml:space="preserve">   </w:t>
      </w:r>
      <w:r w:rsidRPr="00DD3EDD">
        <w:rPr>
          <w:rFonts w:ascii="Times New Roman" w:eastAsia="Times New Roman" w:hAnsi="Times New Roman"/>
          <w:sz w:val="28"/>
          <w:szCs w:val="28"/>
          <w:lang w:val="es-ES"/>
        </w:rPr>
        <w:t>anunțului</w:t>
      </w:r>
      <w:r w:rsidR="00057C76" w:rsidRPr="00DD3EDD">
        <w:rPr>
          <w:rFonts w:ascii="Times New Roman" w:eastAsia="Times New Roman" w:hAnsi="Times New Roman"/>
          <w:sz w:val="28"/>
          <w:szCs w:val="28"/>
          <w:lang w:val="es-ES"/>
        </w:rPr>
        <w:t xml:space="preserve">, pana la data de </w:t>
      </w:r>
      <w:r w:rsidR="00DD3EDD">
        <w:rPr>
          <w:rFonts w:ascii="Times New Roman" w:eastAsia="Times New Roman" w:hAnsi="Times New Roman"/>
          <w:sz w:val="28"/>
          <w:szCs w:val="28"/>
          <w:lang w:val="es-ES"/>
        </w:rPr>
        <w:t>13</w:t>
      </w:r>
      <w:r w:rsidR="00337C07" w:rsidRPr="00DD3EDD">
        <w:rPr>
          <w:rFonts w:ascii="Times New Roman" w:eastAsia="Times New Roman" w:hAnsi="Times New Roman"/>
          <w:sz w:val="28"/>
          <w:szCs w:val="28"/>
          <w:lang w:val="es-ES"/>
        </w:rPr>
        <w:t>.04</w:t>
      </w:r>
      <w:r w:rsidR="00057C76" w:rsidRPr="00DD3EDD">
        <w:rPr>
          <w:rFonts w:ascii="Times New Roman" w:eastAsia="Times New Roman" w:hAnsi="Times New Roman"/>
          <w:sz w:val="28"/>
          <w:szCs w:val="28"/>
          <w:lang w:val="es-ES"/>
        </w:rPr>
        <w:t>.2023 inclusiv , ora 15:00.</w:t>
      </w:r>
    </w:p>
    <w:p w14:paraId="216F8A55" w14:textId="0D0957A9" w:rsidR="00411EEC"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31BB5C48" w:rsidR="00411EEC" w:rsidRPr="00DD3EDD" w:rsidRDefault="00411EEC" w:rsidP="00DD3EDD">
      <w:pPr>
        <w:pStyle w:val="Listparagraf"/>
        <w:numPr>
          <w:ilvl w:val="0"/>
          <w:numId w:val="39"/>
        </w:numPr>
        <w:tabs>
          <w:tab w:val="left" w:pos="1455"/>
          <w:tab w:val="left" w:pos="6915"/>
        </w:tabs>
        <w:spacing w:line="360" w:lineRule="auto"/>
        <w:jc w:val="both"/>
        <w:rPr>
          <w:rFonts w:ascii="Times New Roman" w:eastAsia="Times New Roman" w:hAnsi="Times New Roman"/>
          <w:sz w:val="28"/>
          <w:szCs w:val="28"/>
          <w:lang w:val="es-ES"/>
        </w:rPr>
      </w:pPr>
      <w:r w:rsidRPr="00DD3EDD">
        <w:rPr>
          <w:rFonts w:ascii="Times New Roman" w:eastAsia="Times New Roman" w:hAnsi="Times New Roman"/>
          <w:sz w:val="28"/>
          <w:szCs w:val="28"/>
          <w:lang w:val="es-ES"/>
        </w:rPr>
        <w:t xml:space="preserve">proba scrisa și proba clinica/practica  se organizează în maxim 90 de zile de la publicarea anunțului, la o data care vă fi comunicata și afișată pe site-ul instituției și la sediul acesteia.  </w:t>
      </w:r>
    </w:p>
    <w:p w14:paraId="16F17942" w14:textId="24EA405E" w:rsidR="00411EEC" w:rsidRPr="00411EEC" w:rsidRDefault="00DD3EDD"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3C0B6ACE" w:rsidR="00411EEC" w:rsidRPr="00411EEC" w:rsidRDefault="00DD3EDD"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Pr>
          <w:rFonts w:ascii="Times New Roman" w:eastAsia="Times New Roman" w:hAnsi="Times New Roman"/>
          <w:sz w:val="28"/>
          <w:szCs w:val="28"/>
          <w:lang w:val="es-ES"/>
        </w:rPr>
        <w:t>13</w:t>
      </w:r>
      <w:r w:rsidR="00337C07">
        <w:rPr>
          <w:rFonts w:ascii="Times New Roman" w:eastAsia="Times New Roman" w:hAnsi="Times New Roman"/>
          <w:sz w:val="28"/>
          <w:szCs w:val="28"/>
          <w:lang w:val="es-ES"/>
        </w:rPr>
        <w:t>.04</w:t>
      </w:r>
      <w:r w:rsidR="00057C76">
        <w:rPr>
          <w:rFonts w:ascii="Times New Roman" w:eastAsia="Times New Roman" w:hAnsi="Times New Roman"/>
          <w:sz w:val="28"/>
          <w:szCs w:val="28"/>
          <w:lang w:val="es-ES"/>
        </w:rPr>
        <w:t xml:space="preserve">.2023, ora 15:00, </w:t>
      </w:r>
      <w:r w:rsidR="00411EEC" w:rsidRPr="00411EEC">
        <w:rPr>
          <w:rFonts w:ascii="Times New Roman" w:eastAsia="Times New Roman" w:hAnsi="Times New Roman"/>
          <w:sz w:val="28"/>
          <w:szCs w:val="28"/>
          <w:lang w:val="es-ES"/>
        </w:rPr>
        <w:t xml:space="preserve"> iar concursul se organizează în perioada cuprinsa intre  31 și 90 de zile de la publicare.</w:t>
      </w:r>
    </w:p>
    <w:p w14:paraId="3DC6CEE2" w14:textId="389C2473" w:rsidR="00AB3969" w:rsidRDefault="00DD3EDD"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2E68D1CF" w14:textId="633E1E72" w:rsidR="00802A6C" w:rsidRPr="003B4FCE"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E828BC9"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Pr="003B4FCE">
        <w:rPr>
          <w:rFonts w:ascii="Times New Roman" w:hAnsi="Times New Roman"/>
          <w:sz w:val="28"/>
          <w:szCs w:val="28"/>
          <w:lang w:val="es-ES"/>
        </w:rPr>
        <w:t>Dr Stoian Mircea</w:t>
      </w:r>
      <w:r w:rsidRPr="003B4FCE">
        <w:rPr>
          <w:rFonts w:ascii="Times New Roman" w:hAnsi="Times New Roman"/>
          <w:sz w:val="28"/>
          <w:szCs w:val="28"/>
          <w:lang w:val="es-ES"/>
        </w:rPr>
        <w:tab/>
        <w:t xml:space="preserve">Dr. Iacobescu Alexandru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C1FA" w14:textId="77777777" w:rsidR="00FF7B38" w:rsidRDefault="00FF7B38" w:rsidP="008E12DF">
      <w:r>
        <w:separator/>
      </w:r>
    </w:p>
  </w:endnote>
  <w:endnote w:type="continuationSeparator" w:id="0">
    <w:p w14:paraId="1392FE54" w14:textId="77777777" w:rsidR="00FF7B38" w:rsidRDefault="00FF7B38"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371B" w14:textId="77777777" w:rsidR="00FF7B38" w:rsidRDefault="00FF7B38" w:rsidP="008E12DF">
      <w:r>
        <w:separator/>
      </w:r>
    </w:p>
  </w:footnote>
  <w:footnote w:type="continuationSeparator" w:id="0">
    <w:p w14:paraId="10839CF5" w14:textId="77777777" w:rsidR="00FF7B38" w:rsidRDefault="00FF7B38"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39409D"/>
    <w:multiLevelType w:val="hybridMultilevel"/>
    <w:tmpl w:val="1F7E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04CC7"/>
    <w:multiLevelType w:val="hybridMultilevel"/>
    <w:tmpl w:val="559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7"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D0048"/>
    <w:multiLevelType w:val="hybridMultilevel"/>
    <w:tmpl w:val="DEE46C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4901603"/>
    <w:multiLevelType w:val="hybridMultilevel"/>
    <w:tmpl w:val="2F0AE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0B44770"/>
    <w:multiLevelType w:val="hybridMultilevel"/>
    <w:tmpl w:val="AA121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548EC"/>
    <w:multiLevelType w:val="hybridMultilevel"/>
    <w:tmpl w:val="A8C293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72666">
    <w:abstractNumId w:val="9"/>
  </w:num>
  <w:num w:numId="2" w16cid:durableId="1850176708">
    <w:abstractNumId w:val="7"/>
  </w:num>
  <w:num w:numId="3" w16cid:durableId="448474893">
    <w:abstractNumId w:val="6"/>
  </w:num>
  <w:num w:numId="4" w16cid:durableId="1299144169">
    <w:abstractNumId w:val="5"/>
  </w:num>
  <w:num w:numId="5" w16cid:durableId="360207086">
    <w:abstractNumId w:val="4"/>
  </w:num>
  <w:num w:numId="6" w16cid:durableId="1251501110">
    <w:abstractNumId w:val="8"/>
  </w:num>
  <w:num w:numId="7" w16cid:durableId="862354320">
    <w:abstractNumId w:val="3"/>
  </w:num>
  <w:num w:numId="8" w16cid:durableId="1998804524">
    <w:abstractNumId w:val="2"/>
  </w:num>
  <w:num w:numId="9" w16cid:durableId="155920291">
    <w:abstractNumId w:val="1"/>
  </w:num>
  <w:num w:numId="10" w16cid:durableId="384837217">
    <w:abstractNumId w:val="0"/>
  </w:num>
  <w:num w:numId="11" w16cid:durableId="1222325439">
    <w:abstractNumId w:val="27"/>
  </w:num>
  <w:num w:numId="12" w16cid:durableId="1508640212">
    <w:abstractNumId w:val="23"/>
  </w:num>
  <w:num w:numId="13" w16cid:durableId="975572732">
    <w:abstractNumId w:val="17"/>
  </w:num>
  <w:num w:numId="14" w16cid:durableId="1001591111">
    <w:abstractNumId w:val="38"/>
  </w:num>
  <w:num w:numId="15" w16cid:durableId="1647472536">
    <w:abstractNumId w:val="36"/>
  </w:num>
  <w:num w:numId="16" w16cid:durableId="1140613183">
    <w:abstractNumId w:val="13"/>
  </w:num>
  <w:num w:numId="17" w16cid:durableId="1594438762">
    <w:abstractNumId w:val="25"/>
  </w:num>
  <w:num w:numId="18" w16cid:durableId="1520780659">
    <w:abstractNumId w:val="34"/>
  </w:num>
  <w:num w:numId="19" w16cid:durableId="2053383918">
    <w:abstractNumId w:val="15"/>
  </w:num>
  <w:num w:numId="20" w16cid:durableId="1305701138">
    <w:abstractNumId w:val="12"/>
  </w:num>
  <w:num w:numId="21" w16cid:durableId="2056852665">
    <w:abstractNumId w:val="30"/>
  </w:num>
  <w:num w:numId="22" w16cid:durableId="518356703">
    <w:abstractNumId w:val="20"/>
  </w:num>
  <w:num w:numId="23" w16cid:durableId="1752002100">
    <w:abstractNumId w:val="10"/>
  </w:num>
  <w:num w:numId="24" w16cid:durableId="506018166">
    <w:abstractNumId w:val="16"/>
  </w:num>
  <w:num w:numId="25" w16cid:durableId="1977757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075730">
    <w:abstractNumId w:val="24"/>
  </w:num>
  <w:num w:numId="27" w16cid:durableId="1674575901">
    <w:abstractNumId w:val="31"/>
  </w:num>
  <w:num w:numId="28" w16cid:durableId="1382437352">
    <w:abstractNumId w:val="33"/>
  </w:num>
  <w:num w:numId="29" w16cid:durableId="23941047">
    <w:abstractNumId w:val="29"/>
  </w:num>
  <w:num w:numId="30" w16cid:durableId="1985547496">
    <w:abstractNumId w:val="21"/>
  </w:num>
  <w:num w:numId="31" w16cid:durableId="1022243547">
    <w:abstractNumId w:val="19"/>
  </w:num>
  <w:num w:numId="32" w16cid:durableId="295725759">
    <w:abstractNumId w:val="37"/>
  </w:num>
  <w:num w:numId="33" w16cid:durableId="1891918505">
    <w:abstractNumId w:val="26"/>
  </w:num>
  <w:num w:numId="34" w16cid:durableId="1179736121">
    <w:abstractNumId w:val="28"/>
  </w:num>
  <w:num w:numId="35" w16cid:durableId="253825742">
    <w:abstractNumId w:val="11"/>
  </w:num>
  <w:num w:numId="36" w16cid:durableId="119734664">
    <w:abstractNumId w:val="22"/>
  </w:num>
  <w:num w:numId="37" w16cid:durableId="1275215092">
    <w:abstractNumId w:val="14"/>
  </w:num>
  <w:num w:numId="38" w16cid:durableId="170220314">
    <w:abstractNumId w:val="32"/>
  </w:num>
  <w:num w:numId="39" w16cid:durableId="15139100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45D7"/>
    <w:rsid w:val="000721EA"/>
    <w:rsid w:val="00072C13"/>
    <w:rsid w:val="000735DA"/>
    <w:rsid w:val="00077ABE"/>
    <w:rsid w:val="000A7353"/>
    <w:rsid w:val="000B30BD"/>
    <w:rsid w:val="000B61E9"/>
    <w:rsid w:val="000B77CA"/>
    <w:rsid w:val="000C1E5A"/>
    <w:rsid w:val="000C5365"/>
    <w:rsid w:val="000C7CD0"/>
    <w:rsid w:val="000D1797"/>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6640"/>
    <w:rsid w:val="001B7551"/>
    <w:rsid w:val="001C27F6"/>
    <w:rsid w:val="001C2884"/>
    <w:rsid w:val="001D06B5"/>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F0D"/>
    <w:rsid w:val="00260331"/>
    <w:rsid w:val="00263210"/>
    <w:rsid w:val="00263B70"/>
    <w:rsid w:val="00263C56"/>
    <w:rsid w:val="002649E7"/>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5408F"/>
    <w:rsid w:val="00455D35"/>
    <w:rsid w:val="00457715"/>
    <w:rsid w:val="004616F3"/>
    <w:rsid w:val="004661B2"/>
    <w:rsid w:val="004714CF"/>
    <w:rsid w:val="00482F41"/>
    <w:rsid w:val="00485ED4"/>
    <w:rsid w:val="00486B7A"/>
    <w:rsid w:val="004959F9"/>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86A"/>
    <w:rsid w:val="00535C90"/>
    <w:rsid w:val="005408FA"/>
    <w:rsid w:val="00541CB2"/>
    <w:rsid w:val="00547F48"/>
    <w:rsid w:val="00553EA9"/>
    <w:rsid w:val="005544DE"/>
    <w:rsid w:val="0055483A"/>
    <w:rsid w:val="00557962"/>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E82"/>
    <w:rsid w:val="00794B4A"/>
    <w:rsid w:val="00797444"/>
    <w:rsid w:val="007A2FA0"/>
    <w:rsid w:val="007A517C"/>
    <w:rsid w:val="007B07C7"/>
    <w:rsid w:val="007B1121"/>
    <w:rsid w:val="007C01FA"/>
    <w:rsid w:val="007C575B"/>
    <w:rsid w:val="007D30F9"/>
    <w:rsid w:val="007D5020"/>
    <w:rsid w:val="007E34C5"/>
    <w:rsid w:val="007E4948"/>
    <w:rsid w:val="007F0562"/>
    <w:rsid w:val="007F31CB"/>
    <w:rsid w:val="007F5C31"/>
    <w:rsid w:val="007F625B"/>
    <w:rsid w:val="007F6891"/>
    <w:rsid w:val="007F6A1A"/>
    <w:rsid w:val="00800808"/>
    <w:rsid w:val="00802A6C"/>
    <w:rsid w:val="008044A1"/>
    <w:rsid w:val="0080610E"/>
    <w:rsid w:val="00807E8E"/>
    <w:rsid w:val="00822980"/>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9EA"/>
    <w:rsid w:val="00A459BA"/>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75DF"/>
    <w:rsid w:val="00C300F6"/>
    <w:rsid w:val="00C40936"/>
    <w:rsid w:val="00C46789"/>
    <w:rsid w:val="00C50C99"/>
    <w:rsid w:val="00C6039E"/>
    <w:rsid w:val="00C62505"/>
    <w:rsid w:val="00C713D6"/>
    <w:rsid w:val="00C75A23"/>
    <w:rsid w:val="00C81168"/>
    <w:rsid w:val="00C87A36"/>
    <w:rsid w:val="00C87C16"/>
    <w:rsid w:val="00C9114A"/>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3EDD"/>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C250C"/>
    <w:rsid w:val="00EC49EE"/>
    <w:rsid w:val="00EC5535"/>
    <w:rsid w:val="00EC7EDF"/>
    <w:rsid w:val="00ED20DB"/>
    <w:rsid w:val="00ED26D6"/>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6391E"/>
    <w:rsid w:val="00F66017"/>
    <w:rsid w:val="00F661EF"/>
    <w:rsid w:val="00F704A3"/>
    <w:rsid w:val="00F7271E"/>
    <w:rsid w:val="00F81CC5"/>
    <w:rsid w:val="00F90A7F"/>
    <w:rsid w:val="00F933E0"/>
    <w:rsid w:val="00F94225"/>
    <w:rsid w:val="00FA078D"/>
    <w:rsid w:val="00FA3AAD"/>
    <w:rsid w:val="00FB0481"/>
    <w:rsid w:val="00FB5949"/>
    <w:rsid w:val="00FB7967"/>
    <w:rsid w:val="00FC58A0"/>
    <w:rsid w:val="00FC72EB"/>
    <w:rsid w:val="00FC7CD4"/>
    <w:rsid w:val="00FD3FF3"/>
    <w:rsid w:val="00FD6F0F"/>
    <w:rsid w:val="00FD71E7"/>
    <w:rsid w:val="00FE6082"/>
    <w:rsid w:val="00FF039E"/>
    <w:rsid w:val="00FF0B66"/>
    <w:rsid w:val="00FF1430"/>
    <w:rsid w:val="00FF477E"/>
    <w:rsid w:val="00FF7B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1362</Words>
  <Characters>7768</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9112</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12</cp:revision>
  <cp:lastPrinted>2023-03-24T09:48:00Z</cp:lastPrinted>
  <dcterms:created xsi:type="dcterms:W3CDTF">2023-02-07T05:01:00Z</dcterms:created>
  <dcterms:modified xsi:type="dcterms:W3CDTF">2023-03-24T09:48:00Z</dcterms:modified>
</cp:coreProperties>
</file>