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FF" w:rsidRDefault="00E03977">
      <w:pPr>
        <w:spacing w:after="47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3671FF" w:rsidRPr="000C21E7" w:rsidRDefault="00E03977">
      <w:pPr>
        <w:spacing w:after="47" w:line="240" w:lineRule="auto"/>
        <w:ind w:left="10" w:right="-15"/>
        <w:jc w:val="center"/>
        <w:rPr>
          <w:sz w:val="24"/>
          <w:szCs w:val="24"/>
        </w:rPr>
      </w:pPr>
      <w:r w:rsidRPr="000C21E7">
        <w:rPr>
          <w:b/>
          <w:sz w:val="24"/>
          <w:szCs w:val="24"/>
        </w:rPr>
        <w:t xml:space="preserve">TEMATICA </w:t>
      </w:r>
    </w:p>
    <w:p w:rsidR="000C21E7" w:rsidRPr="000C21E7" w:rsidRDefault="00E03977">
      <w:pPr>
        <w:pStyle w:val="Heading1"/>
        <w:numPr>
          <w:ilvl w:val="0"/>
          <w:numId w:val="0"/>
        </w:numPr>
        <w:ind w:left="2746" w:right="1354"/>
        <w:rPr>
          <w:sz w:val="24"/>
          <w:szCs w:val="24"/>
        </w:rPr>
      </w:pPr>
      <w:proofErr w:type="spellStart"/>
      <w:proofErr w:type="gramStart"/>
      <w:r w:rsidRPr="000C21E7">
        <w:rPr>
          <w:sz w:val="24"/>
          <w:szCs w:val="24"/>
        </w:rPr>
        <w:t>pentru</w:t>
      </w:r>
      <w:proofErr w:type="spellEnd"/>
      <w:proofErr w:type="gramEnd"/>
      <w:r w:rsidRPr="000C21E7">
        <w:rPr>
          <w:sz w:val="24"/>
          <w:szCs w:val="24"/>
        </w:rPr>
        <w:t xml:space="preserve"> </w:t>
      </w:r>
      <w:proofErr w:type="spellStart"/>
      <w:r w:rsidRPr="000C21E7">
        <w:rPr>
          <w:sz w:val="24"/>
          <w:szCs w:val="24"/>
        </w:rPr>
        <w:t>examenul</w:t>
      </w:r>
      <w:proofErr w:type="spellEnd"/>
      <w:r w:rsidRPr="000C21E7">
        <w:rPr>
          <w:sz w:val="24"/>
          <w:szCs w:val="24"/>
        </w:rPr>
        <w:t xml:space="preserve"> de </w:t>
      </w:r>
      <w:proofErr w:type="spellStart"/>
      <w:r w:rsidRPr="000C21E7">
        <w:rPr>
          <w:sz w:val="24"/>
          <w:szCs w:val="24"/>
        </w:rPr>
        <w:t>farmacist</w:t>
      </w:r>
      <w:proofErr w:type="spellEnd"/>
      <w:r w:rsidRPr="000C21E7">
        <w:rPr>
          <w:sz w:val="24"/>
          <w:szCs w:val="24"/>
        </w:rPr>
        <w:t xml:space="preserve"> specialist </w:t>
      </w:r>
    </w:p>
    <w:p w:rsidR="003671FF" w:rsidRPr="000C21E7" w:rsidRDefault="00870FE1">
      <w:pPr>
        <w:pStyle w:val="Heading1"/>
        <w:numPr>
          <w:ilvl w:val="0"/>
          <w:numId w:val="0"/>
        </w:numPr>
        <w:ind w:left="2746" w:right="1354"/>
        <w:rPr>
          <w:sz w:val="24"/>
          <w:szCs w:val="24"/>
        </w:rPr>
      </w:pPr>
      <w:proofErr w:type="spellStart"/>
      <w:r>
        <w:rPr>
          <w:sz w:val="24"/>
          <w:szCs w:val="24"/>
        </w:rPr>
        <w:t>specialitatea</w:t>
      </w:r>
      <w:proofErr w:type="spellEnd"/>
      <w:r>
        <w:rPr>
          <w:sz w:val="24"/>
          <w:szCs w:val="24"/>
        </w:rPr>
        <w:t xml:space="preserve"> FARMACIE GENERALĂ</w:t>
      </w:r>
      <w:bookmarkStart w:id="0" w:name="_GoBack"/>
      <w:bookmarkEnd w:id="0"/>
      <w:r w:rsidR="00E03977" w:rsidRPr="000C21E7">
        <w:rPr>
          <w:sz w:val="24"/>
          <w:szCs w:val="24"/>
        </w:rPr>
        <w:t xml:space="preserve"> </w:t>
      </w:r>
    </w:p>
    <w:p w:rsidR="003671FF" w:rsidRPr="000C21E7" w:rsidRDefault="00E03977">
      <w:pPr>
        <w:spacing w:after="47" w:line="240" w:lineRule="auto"/>
        <w:ind w:left="0" w:firstLine="0"/>
        <w:jc w:val="center"/>
        <w:rPr>
          <w:sz w:val="24"/>
          <w:szCs w:val="24"/>
        </w:rPr>
      </w:pPr>
      <w:r w:rsidRPr="000C21E7">
        <w:rPr>
          <w:b/>
          <w:sz w:val="24"/>
          <w:szCs w:val="24"/>
        </w:rPr>
        <w:t xml:space="preserve"> </w:t>
      </w:r>
    </w:p>
    <w:p w:rsidR="003671FF" w:rsidRPr="000C21E7" w:rsidRDefault="000C21E7" w:rsidP="000C21E7">
      <w:pPr>
        <w:numPr>
          <w:ilvl w:val="0"/>
          <w:numId w:val="1"/>
        </w:numPr>
        <w:spacing w:after="47" w:line="240" w:lineRule="auto"/>
        <w:ind w:right="-15" w:hanging="300"/>
        <w:rPr>
          <w:sz w:val="24"/>
          <w:szCs w:val="24"/>
        </w:rPr>
      </w:pPr>
      <w:r w:rsidRPr="000C21E7">
        <w:rPr>
          <w:b/>
          <w:sz w:val="24"/>
          <w:szCs w:val="24"/>
        </w:rPr>
        <w:t>PROBA SCRISĂ</w:t>
      </w:r>
      <w:r w:rsidR="00E03977" w:rsidRPr="000C21E7">
        <w:rPr>
          <w:b/>
          <w:sz w:val="24"/>
          <w:szCs w:val="24"/>
        </w:rPr>
        <w:t xml:space="preserve"> </w:t>
      </w:r>
    </w:p>
    <w:p w:rsidR="003671FF" w:rsidRPr="000C21E7" w:rsidRDefault="000C21E7" w:rsidP="000C21E7">
      <w:pPr>
        <w:numPr>
          <w:ilvl w:val="0"/>
          <w:numId w:val="1"/>
        </w:numPr>
        <w:spacing w:after="47" w:line="240" w:lineRule="auto"/>
        <w:ind w:right="-15" w:hanging="300"/>
        <w:rPr>
          <w:sz w:val="24"/>
          <w:szCs w:val="24"/>
        </w:rPr>
      </w:pPr>
      <w:r w:rsidRPr="000C21E7">
        <w:rPr>
          <w:b/>
          <w:sz w:val="24"/>
          <w:szCs w:val="24"/>
        </w:rPr>
        <w:t>PROBA PRACTICĂ</w:t>
      </w:r>
      <w:r w:rsidR="00E03977" w:rsidRPr="000C21E7">
        <w:rPr>
          <w:b/>
          <w:sz w:val="24"/>
          <w:szCs w:val="24"/>
        </w:rPr>
        <w:t xml:space="preserve"> </w:t>
      </w:r>
    </w:p>
    <w:p w:rsidR="003671FF" w:rsidRPr="000C21E7" w:rsidRDefault="00E03977">
      <w:pPr>
        <w:spacing w:after="42" w:line="240" w:lineRule="auto"/>
        <w:ind w:left="0" w:firstLine="0"/>
        <w:jc w:val="center"/>
        <w:rPr>
          <w:sz w:val="24"/>
          <w:szCs w:val="24"/>
        </w:rPr>
      </w:pPr>
      <w:r w:rsidRPr="000C21E7">
        <w:rPr>
          <w:b/>
          <w:i/>
          <w:sz w:val="24"/>
          <w:szCs w:val="24"/>
        </w:rPr>
        <w:t xml:space="preserve"> </w:t>
      </w:r>
    </w:p>
    <w:p w:rsidR="003671FF" w:rsidRPr="000C21E7" w:rsidRDefault="00E03977">
      <w:pPr>
        <w:spacing w:after="49" w:line="240" w:lineRule="auto"/>
        <w:ind w:left="0" w:firstLine="0"/>
        <w:rPr>
          <w:sz w:val="24"/>
          <w:szCs w:val="24"/>
        </w:rPr>
      </w:pPr>
      <w:r w:rsidRPr="000C21E7">
        <w:rPr>
          <w:sz w:val="24"/>
          <w:szCs w:val="24"/>
        </w:rPr>
        <w:t xml:space="preserve"> </w:t>
      </w:r>
    </w:p>
    <w:p w:rsidR="003671FF" w:rsidRPr="000C21E7" w:rsidRDefault="000C21E7">
      <w:pPr>
        <w:pStyle w:val="Heading1"/>
        <w:ind w:left="895" w:hanging="209"/>
        <w:rPr>
          <w:sz w:val="24"/>
          <w:szCs w:val="24"/>
        </w:rPr>
      </w:pPr>
      <w:r w:rsidRPr="000C21E7">
        <w:rPr>
          <w:sz w:val="24"/>
          <w:szCs w:val="24"/>
        </w:rPr>
        <w:t>PROBA SCRISĂ</w:t>
      </w:r>
      <w:r w:rsidR="00E03977" w:rsidRPr="000C21E7">
        <w:rPr>
          <w:sz w:val="24"/>
          <w:szCs w:val="24"/>
        </w:rPr>
        <w:t xml:space="preserve"> </w:t>
      </w:r>
    </w:p>
    <w:p w:rsidR="000C21E7" w:rsidRPr="000C21E7" w:rsidRDefault="000C21E7" w:rsidP="000C21E7">
      <w:pPr>
        <w:jc w:val="both"/>
        <w:rPr>
          <w:sz w:val="24"/>
          <w:szCs w:val="24"/>
        </w:rPr>
      </w:pP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Formularea soluțiilor medicamentoase (1, vol. 1, pag. 282, 305-309, 323-329).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Procesul de dizolvare (1, vol. 1, pag. 282-287, 294-296).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Aducerea in soluție a substanțelor greu solubile (1, vol. 1, 286-294).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Medicamente injectabile. Soluții injectabile. Medicamente injectabile cu acțiune prelungită. Condiții de calitate pentru preparatele injectabile (1, vol. 1, pag. 570-571, 576-582, 587-589).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perfuzabile. Clasificare. Exemple. Condiții de calitate (1, vol. 1, pag. 594, 619-622).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Seruri și vaccinuri (1, vol. 1, pag. 633-635, 641-644).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Biodisponibilitatea medicamentelor administrate pe cale parenterală (1, vol. 1, pag. 589-591).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radiofarmaceutice (1, vol. 1, pag. 656-661).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oftalmice. Formulare de preparate. Condiții de calitate (1, vol. 1, pag. 672-674, 677-679, 682-688).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obținute prin extracție. Factorii care influențează procesul de extracție. Condiții de calitate (1, vol. 1, pag. 449-454).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Aerosoli farmaceutici. Tipuri de aerosoli. Biodisponibilitatea aerosolilor de inhalație (1, vol. 2, pag. 501-504, 614-624).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Emulsii farmaceutice. Formulare. Mecanismul de acțiune a emulgatorilor (1, vol. 2, pag. 162-168, 200-205).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Suspensii farmaceutice. Factorii care influențează stabilitatea suspensiilor. Controlul calității (1, vol. 2, pag. 447-455, 490-493).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farmaceutice cu acțiune topică. Factorii care influențează absorbția percutanată a medicamentelor (1, vol. 2, pag. 654-656, 672-677, 799-805).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Supozitoare. Influența formulării asupra biodisponibilității substanțelor medicamentoase după administrare rectală sau vaginală (1, vol. 2, pag. 900-903, 962-966, 971-973).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Pulberi farmaceutice. Pudre medicamentoase (1, vol. 3, pag. 74-79, 176-178).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Comprimate. Formulare și preparare. Acoperirea comprimatelor (1, vol. 3, pag. 545-553, 615-617).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Capsule medicinale (1, vol. 3, pag. 185-186, 195-201, 208-210, 244-245, 263-266, 274, 282).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Controlul calității comprimatelor și capsulelor medicinale (1, vol. 3, pag. 519-528, 247-248, 282).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Preparate orale cu acțiune prelungită (1, vol. 3, pag. 632-640).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lastRenderedPageBreak/>
        <w:t>Biodisponibilitatea medicamentelor administrate pe cale orală (1, vol. 3, pag. 174-175, 249-252, 282-284, 354-355, 532-536).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Sisteme terapeutice (orale, parentale, transdermice, oculare, intrauterine) (1, vol. 3, pag. 649-651, 665-666, 669-671, 675-676, 680).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Sisteme de transport și de eliberare la țintă (1, vol. 3, pag. 682-686, 729-730).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Stabilitatea formelor farmaceutice. Modificările medicamentelor în timpul conservării. Factorii care influențează stabilitatea medicamentelor (1, vol. 1, pag. 174-180).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Controlul și prevederea conservării. Perioada de valabilitate (1, vol. 1, pag. 180-188).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Formularea unui nou medicament. Preformularea (1, vol. 1, pag. 86-92).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Comunicarea în farmacie (1, vol. 1, pag. 78-82).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Antibiotice și chimioterapice antimicrobiene (2, pag. 528-589).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Antitricomonazice. Antihelmintice (2, pag. 1035-1036, 1042-1044).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Antimicotice (2, pag. 386-393, 590-599).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Antiseptice și dezinfectante (2, pag. 415-417, 1060-1064).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Analgezice stupefiante și analgezice – antipiretice (2, pag. 924-943; 3, pag. 323-326).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Tranchilizante, sedative – hipnotice (2, pag. 987-996; 3, pag. 56-60, 69-74).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Psihostimulante, neurotonice (2, pag. 1010-1015).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Antiastmatice. Antitusive și expectorante (2, pag. 1065-1099).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Stimulante ale contracției miocardului. Antiaritmice (2, pag. 258-274).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Antihipertensive. Antianginoase (2, pag. 285-292, 274-282; 3, pag. 92-99, 110-112).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Vasodilatatoare cerebrale și periferice (2, pag. 303-305).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Diuretice (2, pag. 293-302; 3, pag. 91-92).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Antianemice (2, pag. 217-227).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Antitrombotice. Antihemoragice (2, pag. 171-216).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Stimulante și substituenți ai secrețiilor digestive (2, pag. 91-93).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Antiacide, antiulceroase (2, pag. 27-42; 3, pag. 140-146).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Antiemetice și propulsive gastrice (2, pag. 52-60).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Laxative – purgative. Antidiareice. Antiflatulente (2, pag. 68-84; 3, pag.152-153, 156-162, 167-170).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Antispastice (2, pag. 44-51).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Coleretice – colecistochinetice. Hepatoprotectoare (2, pag. 61-67).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Antialergice (2, pag. 397-398, 1102-1111, 1136-1138; 3, pag. 269-274).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Antiinflamatoare (2, pag. 851-875).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Corticosteroizi (2, pag. 406-414, 509-515, 1053-1056, 1120-1124).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rPr>
          <w:sz w:val="24"/>
          <w:szCs w:val="24"/>
        </w:rPr>
      </w:pPr>
      <w:r w:rsidRPr="000C21E7">
        <w:rPr>
          <w:sz w:val="24"/>
          <w:szCs w:val="24"/>
        </w:rPr>
        <w:t>Anabolizante și medicația obezității (2, pag. 89-90, 155; 3, pag. 236-239).</w:t>
      </w:r>
    </w:p>
    <w:p w:rsidR="000C21E7" w:rsidRPr="000C21E7" w:rsidRDefault="000C21E7" w:rsidP="000C21E7">
      <w:pPr>
        <w:pStyle w:val="ListParagraph"/>
        <w:numPr>
          <w:ilvl w:val="0"/>
          <w:numId w:val="5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Vitamine (2, pag. 135-147).</w:t>
      </w:r>
    </w:p>
    <w:p w:rsidR="000C21E7" w:rsidRPr="000C21E7" w:rsidRDefault="000C21E7" w:rsidP="000C21E7">
      <w:pPr>
        <w:jc w:val="both"/>
        <w:rPr>
          <w:sz w:val="24"/>
          <w:szCs w:val="24"/>
        </w:rPr>
      </w:pPr>
    </w:p>
    <w:p w:rsidR="000C21E7" w:rsidRPr="000C21E7" w:rsidRDefault="000C21E7" w:rsidP="000C21E7">
      <w:pPr>
        <w:jc w:val="both"/>
        <w:rPr>
          <w:sz w:val="24"/>
          <w:szCs w:val="24"/>
        </w:rPr>
      </w:pPr>
    </w:p>
    <w:p w:rsidR="000C21E7" w:rsidRPr="000C21E7" w:rsidRDefault="000C21E7" w:rsidP="000C21E7">
      <w:pPr>
        <w:pStyle w:val="Heading1"/>
        <w:rPr>
          <w:sz w:val="24"/>
          <w:szCs w:val="24"/>
        </w:rPr>
      </w:pPr>
      <w:r w:rsidRPr="000C21E7">
        <w:rPr>
          <w:sz w:val="24"/>
          <w:szCs w:val="24"/>
        </w:rPr>
        <w:t xml:space="preserve">PROBA PRACTICĂ </w:t>
      </w:r>
    </w:p>
    <w:p w:rsidR="000C21E7" w:rsidRPr="000C21E7" w:rsidRDefault="000C21E7" w:rsidP="000C21E7">
      <w:pPr>
        <w:jc w:val="both"/>
        <w:rPr>
          <w:sz w:val="24"/>
          <w:szCs w:val="24"/>
        </w:rPr>
      </w:pPr>
    </w:p>
    <w:p w:rsidR="000C21E7" w:rsidRPr="000C21E7" w:rsidRDefault="000C21E7" w:rsidP="000C21E7">
      <w:pPr>
        <w:pStyle w:val="ListParagraph"/>
        <w:numPr>
          <w:ilvl w:val="0"/>
          <w:numId w:val="6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Comentarea tehnicii de executare a unui preparat magistral sau oficinal din practica actuală de receptură din capitolele: soluții medicamentoase, soluții extractive apoase și alcoolice, preparate oftalmice, emulsii, suspensii, unguente, supozitoare, pulberi.</w:t>
      </w:r>
    </w:p>
    <w:p w:rsidR="000C21E7" w:rsidRPr="000C21E7" w:rsidRDefault="000C21E7" w:rsidP="000C21E7">
      <w:pPr>
        <w:pStyle w:val="ListParagraph"/>
        <w:numPr>
          <w:ilvl w:val="0"/>
          <w:numId w:val="6"/>
        </w:numPr>
        <w:spacing w:before="4"/>
        <w:contextualSpacing w:val="0"/>
        <w:jc w:val="both"/>
        <w:rPr>
          <w:sz w:val="24"/>
          <w:szCs w:val="24"/>
        </w:rPr>
      </w:pPr>
      <w:r w:rsidRPr="000C21E7">
        <w:rPr>
          <w:sz w:val="24"/>
          <w:szCs w:val="24"/>
        </w:rPr>
        <w:t>Comentarea modalităților de identificare și control al purității unei substanțe sau preparat farmaceutic după F.R. X.</w:t>
      </w:r>
    </w:p>
    <w:p w:rsidR="000C21E7" w:rsidRPr="000C21E7" w:rsidRDefault="000C21E7" w:rsidP="000C21E7">
      <w:pPr>
        <w:jc w:val="both"/>
        <w:rPr>
          <w:sz w:val="24"/>
          <w:szCs w:val="24"/>
        </w:rPr>
      </w:pPr>
    </w:p>
    <w:p w:rsidR="000C21E7" w:rsidRPr="000C21E7" w:rsidRDefault="000C21E7" w:rsidP="000C21E7">
      <w:pPr>
        <w:tabs>
          <w:tab w:val="left" w:pos="452"/>
          <w:tab w:val="left" w:pos="455"/>
        </w:tabs>
        <w:spacing w:before="2" w:line="244" w:lineRule="auto"/>
        <w:ind w:right="701"/>
        <w:jc w:val="both"/>
        <w:rPr>
          <w:color w:val="000000" w:themeColor="text1"/>
          <w:sz w:val="24"/>
          <w:szCs w:val="24"/>
        </w:rPr>
      </w:pPr>
    </w:p>
    <w:p w:rsidR="000C21E7" w:rsidRPr="000C21E7" w:rsidRDefault="000C21E7" w:rsidP="000C21E7">
      <w:pPr>
        <w:tabs>
          <w:tab w:val="left" w:pos="452"/>
          <w:tab w:val="left" w:pos="455"/>
        </w:tabs>
        <w:spacing w:before="2" w:line="244" w:lineRule="auto"/>
        <w:ind w:right="701"/>
        <w:jc w:val="both"/>
        <w:rPr>
          <w:b/>
          <w:color w:val="000000" w:themeColor="text1"/>
          <w:sz w:val="24"/>
          <w:szCs w:val="24"/>
        </w:rPr>
      </w:pPr>
      <w:r w:rsidRPr="000C21E7">
        <w:rPr>
          <w:b/>
          <w:color w:val="000000" w:themeColor="text1"/>
          <w:sz w:val="24"/>
          <w:szCs w:val="24"/>
        </w:rPr>
        <w:lastRenderedPageBreak/>
        <w:t>BIBLIOGRAFIE</w:t>
      </w:r>
    </w:p>
    <w:p w:rsidR="000C21E7" w:rsidRPr="000C21E7" w:rsidRDefault="000C21E7" w:rsidP="000C21E7">
      <w:pPr>
        <w:tabs>
          <w:tab w:val="left" w:pos="452"/>
          <w:tab w:val="left" w:pos="455"/>
        </w:tabs>
        <w:spacing w:before="2" w:line="244" w:lineRule="auto"/>
        <w:ind w:right="32"/>
        <w:jc w:val="both"/>
        <w:rPr>
          <w:color w:val="000000" w:themeColor="text1"/>
          <w:sz w:val="24"/>
          <w:szCs w:val="24"/>
          <w:u w:val="single"/>
        </w:rPr>
      </w:pPr>
    </w:p>
    <w:p w:rsidR="000C21E7" w:rsidRPr="000C21E7" w:rsidRDefault="000C21E7" w:rsidP="000C21E7">
      <w:pPr>
        <w:pStyle w:val="ListParagraph"/>
        <w:numPr>
          <w:ilvl w:val="0"/>
          <w:numId w:val="7"/>
        </w:numPr>
        <w:spacing w:before="2" w:line="244" w:lineRule="auto"/>
        <w:ind w:left="720" w:right="32"/>
        <w:jc w:val="both"/>
        <w:rPr>
          <w:color w:val="000000" w:themeColor="text1"/>
          <w:sz w:val="24"/>
          <w:szCs w:val="24"/>
        </w:rPr>
      </w:pPr>
      <w:r w:rsidRPr="000C21E7">
        <w:rPr>
          <w:color w:val="000000" w:themeColor="text1"/>
          <w:sz w:val="24"/>
          <w:szCs w:val="24"/>
        </w:rPr>
        <w:t xml:space="preserve">Popovici I., Lupuleasa D., </w:t>
      </w:r>
      <w:r w:rsidRPr="000C21E7">
        <w:rPr>
          <w:i/>
          <w:iCs/>
          <w:color w:val="000000" w:themeColor="text1"/>
          <w:sz w:val="24"/>
          <w:szCs w:val="24"/>
        </w:rPr>
        <w:t>autori</w:t>
      </w:r>
      <w:r w:rsidRPr="000C21E7">
        <w:rPr>
          <w:color w:val="000000" w:themeColor="text1"/>
          <w:sz w:val="24"/>
          <w:szCs w:val="24"/>
        </w:rPr>
        <w:t xml:space="preserve"> </w:t>
      </w:r>
      <w:r w:rsidRPr="000C21E7">
        <w:rPr>
          <w:i/>
          <w:iCs/>
          <w:color w:val="000000" w:themeColor="text1"/>
          <w:sz w:val="24"/>
          <w:szCs w:val="24"/>
        </w:rPr>
        <w:t>coord.</w:t>
      </w:r>
      <w:r w:rsidRPr="000C21E7">
        <w:rPr>
          <w:color w:val="000000" w:themeColor="text1"/>
          <w:sz w:val="24"/>
          <w:szCs w:val="24"/>
        </w:rPr>
        <w:t>. Tehnologie farmaceutică, Vol. 1 ediția a V-a, 2024; Vol. 2, ediția a II-a, 2017; Vol. 3 ediția a II-a, 2017, Editura Polirom, Iași.</w:t>
      </w:r>
    </w:p>
    <w:p w:rsidR="000C21E7" w:rsidRPr="000C21E7" w:rsidRDefault="000C21E7" w:rsidP="000C21E7">
      <w:pPr>
        <w:pStyle w:val="ListParagraph"/>
        <w:numPr>
          <w:ilvl w:val="0"/>
          <w:numId w:val="7"/>
        </w:numPr>
        <w:spacing w:before="2" w:line="244" w:lineRule="auto"/>
        <w:ind w:left="720" w:right="32"/>
        <w:jc w:val="both"/>
        <w:rPr>
          <w:color w:val="000000" w:themeColor="text1"/>
          <w:sz w:val="24"/>
          <w:szCs w:val="24"/>
        </w:rPr>
      </w:pPr>
      <w:r w:rsidRPr="000C21E7">
        <w:rPr>
          <w:color w:val="000000" w:themeColor="text1"/>
          <w:sz w:val="24"/>
          <w:szCs w:val="24"/>
        </w:rPr>
        <w:t>Dobrescu D., Negreș S., Dobrescu L., McKinnon R. MEMOMED 2024. Ediția 30. Editura Universitară; București, 2024, ISBN: 977-206-924-400-8.</w:t>
      </w:r>
    </w:p>
    <w:p w:rsidR="000C21E7" w:rsidRPr="000C21E7" w:rsidRDefault="000C21E7" w:rsidP="000C21E7">
      <w:pPr>
        <w:spacing w:after="46" w:line="240" w:lineRule="auto"/>
        <w:ind w:left="0" w:firstLine="0"/>
        <w:rPr>
          <w:sz w:val="24"/>
          <w:szCs w:val="24"/>
        </w:rPr>
      </w:pPr>
      <w:proofErr w:type="spellStart"/>
      <w:r w:rsidRPr="000C21E7">
        <w:rPr>
          <w:color w:val="000000" w:themeColor="text1"/>
          <w:sz w:val="24"/>
          <w:szCs w:val="24"/>
        </w:rPr>
        <w:t>Oniga</w:t>
      </w:r>
      <w:proofErr w:type="spellEnd"/>
      <w:r w:rsidRPr="000C21E7">
        <w:rPr>
          <w:color w:val="000000" w:themeColor="text1"/>
          <w:sz w:val="24"/>
          <w:szCs w:val="24"/>
        </w:rPr>
        <w:t xml:space="preserve"> O., </w:t>
      </w:r>
      <w:proofErr w:type="spellStart"/>
      <w:r w:rsidRPr="000C21E7">
        <w:rPr>
          <w:color w:val="000000" w:themeColor="text1"/>
          <w:sz w:val="24"/>
          <w:szCs w:val="24"/>
        </w:rPr>
        <w:t>Mogoșan</w:t>
      </w:r>
      <w:proofErr w:type="spellEnd"/>
      <w:r w:rsidRPr="000C21E7">
        <w:rPr>
          <w:color w:val="000000" w:themeColor="text1"/>
          <w:sz w:val="24"/>
          <w:szCs w:val="24"/>
        </w:rPr>
        <w:t xml:space="preserve"> C., </w:t>
      </w:r>
      <w:proofErr w:type="spellStart"/>
      <w:r w:rsidRPr="000C21E7">
        <w:rPr>
          <w:i/>
          <w:iCs/>
          <w:color w:val="000000" w:themeColor="text1"/>
          <w:sz w:val="24"/>
          <w:szCs w:val="24"/>
        </w:rPr>
        <w:t>coord</w:t>
      </w:r>
      <w:proofErr w:type="spellEnd"/>
      <w:proofErr w:type="gramStart"/>
      <w:r w:rsidRPr="000C21E7">
        <w:rPr>
          <w:i/>
          <w:iCs/>
          <w:color w:val="000000" w:themeColor="text1"/>
          <w:sz w:val="24"/>
          <w:szCs w:val="24"/>
        </w:rPr>
        <w:t>..</w:t>
      </w:r>
      <w:proofErr w:type="gramEnd"/>
      <w:r w:rsidRPr="000C21E7">
        <w:rPr>
          <w:color w:val="000000" w:themeColor="text1"/>
          <w:sz w:val="24"/>
          <w:szCs w:val="24"/>
        </w:rPr>
        <w:t xml:space="preserve"> </w:t>
      </w:r>
      <w:proofErr w:type="spellStart"/>
      <w:r w:rsidRPr="000C21E7">
        <w:rPr>
          <w:color w:val="000000" w:themeColor="text1"/>
          <w:sz w:val="24"/>
          <w:szCs w:val="24"/>
        </w:rPr>
        <w:t>Afecțiuni</w:t>
      </w:r>
      <w:proofErr w:type="spellEnd"/>
      <w:r w:rsidRPr="000C21E7">
        <w:rPr>
          <w:color w:val="000000" w:themeColor="text1"/>
          <w:sz w:val="24"/>
          <w:szCs w:val="24"/>
        </w:rPr>
        <w:t xml:space="preserve"> cu </w:t>
      </w:r>
      <w:proofErr w:type="spellStart"/>
      <w:r w:rsidRPr="000C21E7">
        <w:rPr>
          <w:color w:val="000000" w:themeColor="text1"/>
          <w:sz w:val="24"/>
          <w:szCs w:val="24"/>
        </w:rPr>
        <w:t>incidență</w:t>
      </w:r>
      <w:proofErr w:type="spellEnd"/>
      <w:r w:rsidRPr="000C21E7">
        <w:rPr>
          <w:color w:val="000000" w:themeColor="text1"/>
          <w:sz w:val="24"/>
          <w:szCs w:val="24"/>
        </w:rPr>
        <w:t xml:space="preserve"> </w:t>
      </w:r>
      <w:proofErr w:type="spellStart"/>
      <w:r w:rsidRPr="000C21E7">
        <w:rPr>
          <w:color w:val="000000" w:themeColor="text1"/>
          <w:sz w:val="24"/>
          <w:szCs w:val="24"/>
        </w:rPr>
        <w:t>ridicată</w:t>
      </w:r>
      <w:proofErr w:type="spellEnd"/>
      <w:r w:rsidRPr="000C21E7">
        <w:rPr>
          <w:color w:val="000000" w:themeColor="text1"/>
          <w:sz w:val="24"/>
          <w:szCs w:val="24"/>
        </w:rPr>
        <w:t xml:space="preserve">: </w:t>
      </w:r>
      <w:proofErr w:type="spellStart"/>
      <w:r w:rsidRPr="000C21E7">
        <w:rPr>
          <w:color w:val="000000" w:themeColor="text1"/>
          <w:sz w:val="24"/>
          <w:szCs w:val="24"/>
        </w:rPr>
        <w:t>aspecte</w:t>
      </w:r>
      <w:proofErr w:type="spellEnd"/>
      <w:r w:rsidRPr="000C21E7">
        <w:rPr>
          <w:color w:val="000000" w:themeColor="text1"/>
          <w:sz w:val="24"/>
          <w:szCs w:val="24"/>
        </w:rPr>
        <w:t xml:space="preserve"> de </w:t>
      </w:r>
      <w:proofErr w:type="spellStart"/>
      <w:r w:rsidRPr="000C21E7">
        <w:rPr>
          <w:color w:val="000000" w:themeColor="text1"/>
          <w:sz w:val="24"/>
          <w:szCs w:val="24"/>
        </w:rPr>
        <w:t>terapie</w:t>
      </w:r>
      <w:proofErr w:type="spellEnd"/>
      <w:r w:rsidRPr="000C21E7">
        <w:rPr>
          <w:color w:val="000000" w:themeColor="text1"/>
          <w:sz w:val="24"/>
          <w:szCs w:val="24"/>
        </w:rPr>
        <w:t xml:space="preserve"> din perspective </w:t>
      </w:r>
      <w:proofErr w:type="spellStart"/>
      <w:r w:rsidRPr="000C21E7">
        <w:rPr>
          <w:color w:val="000000" w:themeColor="text1"/>
          <w:sz w:val="24"/>
          <w:szCs w:val="24"/>
        </w:rPr>
        <w:t>farmaceutice</w:t>
      </w:r>
      <w:proofErr w:type="spellEnd"/>
      <w:r w:rsidRPr="000C21E7">
        <w:rPr>
          <w:color w:val="000000" w:themeColor="text1"/>
          <w:sz w:val="24"/>
          <w:szCs w:val="24"/>
        </w:rPr>
        <w:t xml:space="preserve"> </w:t>
      </w:r>
      <w:proofErr w:type="spellStart"/>
      <w:r w:rsidRPr="000C21E7">
        <w:rPr>
          <w:color w:val="000000" w:themeColor="text1"/>
          <w:sz w:val="24"/>
          <w:szCs w:val="24"/>
        </w:rPr>
        <w:t>și</w:t>
      </w:r>
      <w:proofErr w:type="spellEnd"/>
      <w:r w:rsidRPr="000C21E7">
        <w:rPr>
          <w:color w:val="000000" w:themeColor="text1"/>
          <w:sz w:val="24"/>
          <w:szCs w:val="24"/>
        </w:rPr>
        <w:t xml:space="preserve"> </w:t>
      </w:r>
      <w:proofErr w:type="spellStart"/>
      <w:r w:rsidRPr="000C21E7">
        <w:rPr>
          <w:color w:val="000000" w:themeColor="text1"/>
          <w:sz w:val="24"/>
          <w:szCs w:val="24"/>
        </w:rPr>
        <w:t>medicale</w:t>
      </w:r>
      <w:proofErr w:type="spellEnd"/>
      <w:r w:rsidRPr="000C21E7">
        <w:rPr>
          <w:color w:val="000000" w:themeColor="text1"/>
          <w:sz w:val="24"/>
          <w:szCs w:val="24"/>
        </w:rPr>
        <w:t xml:space="preserve">, </w:t>
      </w:r>
      <w:proofErr w:type="spellStart"/>
      <w:r w:rsidRPr="000C21E7">
        <w:rPr>
          <w:color w:val="000000" w:themeColor="text1"/>
          <w:sz w:val="24"/>
          <w:szCs w:val="24"/>
        </w:rPr>
        <w:t>Editura</w:t>
      </w:r>
      <w:proofErr w:type="spellEnd"/>
      <w:r w:rsidRPr="000C21E7">
        <w:rPr>
          <w:color w:val="000000" w:themeColor="text1"/>
          <w:sz w:val="24"/>
          <w:szCs w:val="24"/>
        </w:rPr>
        <w:t xml:space="preserve"> UMF </w:t>
      </w:r>
      <w:proofErr w:type="spellStart"/>
      <w:r w:rsidRPr="000C21E7">
        <w:rPr>
          <w:color w:val="000000" w:themeColor="text1"/>
          <w:sz w:val="24"/>
          <w:szCs w:val="24"/>
        </w:rPr>
        <w:t>Iuliu</w:t>
      </w:r>
      <w:proofErr w:type="spellEnd"/>
      <w:r w:rsidRPr="000C21E7">
        <w:rPr>
          <w:color w:val="000000" w:themeColor="text1"/>
          <w:sz w:val="24"/>
          <w:szCs w:val="24"/>
        </w:rPr>
        <w:t xml:space="preserve"> </w:t>
      </w:r>
      <w:proofErr w:type="spellStart"/>
      <w:r w:rsidRPr="000C21E7">
        <w:rPr>
          <w:color w:val="000000" w:themeColor="text1"/>
          <w:sz w:val="24"/>
          <w:szCs w:val="24"/>
        </w:rPr>
        <w:t>Hațieganu</w:t>
      </w:r>
      <w:proofErr w:type="spellEnd"/>
    </w:p>
    <w:p w:rsidR="003671FF" w:rsidRDefault="003671FF">
      <w:pPr>
        <w:spacing w:after="0" w:line="240" w:lineRule="auto"/>
        <w:ind w:left="0" w:firstLine="0"/>
        <w:jc w:val="center"/>
      </w:pPr>
    </w:p>
    <w:p w:rsidR="000C21E7" w:rsidRDefault="000C21E7">
      <w:pPr>
        <w:spacing w:after="0" w:line="240" w:lineRule="auto"/>
        <w:ind w:left="0" w:firstLine="0"/>
        <w:jc w:val="center"/>
      </w:pPr>
    </w:p>
    <w:p w:rsidR="000C21E7" w:rsidRDefault="000C21E7">
      <w:pPr>
        <w:spacing w:after="0" w:line="240" w:lineRule="auto"/>
        <w:ind w:left="0" w:firstLine="0"/>
        <w:jc w:val="center"/>
      </w:pPr>
    </w:p>
    <w:p w:rsidR="000C21E7" w:rsidRPr="000C21E7" w:rsidRDefault="000C21E7">
      <w:pPr>
        <w:spacing w:after="0" w:line="240" w:lineRule="auto"/>
        <w:ind w:left="0" w:firstLine="0"/>
        <w:jc w:val="center"/>
        <w:rPr>
          <w:b/>
        </w:rPr>
      </w:pPr>
      <w:proofErr w:type="spellStart"/>
      <w:proofErr w:type="gramStart"/>
      <w:r w:rsidRPr="000C21E7">
        <w:rPr>
          <w:b/>
        </w:rPr>
        <w:t>oooOOOOooo</w:t>
      </w:r>
      <w:proofErr w:type="spellEnd"/>
      <w:proofErr w:type="gramEnd"/>
    </w:p>
    <w:sectPr w:rsidR="000C21E7" w:rsidRPr="000C21E7">
      <w:pgSz w:w="11900" w:h="16840"/>
      <w:pgMar w:top="1456" w:right="1181" w:bottom="1866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F346D"/>
    <w:multiLevelType w:val="hybridMultilevel"/>
    <w:tmpl w:val="F064F5B4"/>
    <w:lvl w:ilvl="0" w:tplc="9964288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8A0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E700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A6A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3A3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2AF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92C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5E8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5CD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8A0C6A"/>
    <w:multiLevelType w:val="hybridMultilevel"/>
    <w:tmpl w:val="DB504358"/>
    <w:lvl w:ilvl="0" w:tplc="4A202DA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>
    <w:nsid w:val="4FC172D6"/>
    <w:multiLevelType w:val="hybridMultilevel"/>
    <w:tmpl w:val="89ACFF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214AE"/>
    <w:multiLevelType w:val="hybridMultilevel"/>
    <w:tmpl w:val="349A50A0"/>
    <w:lvl w:ilvl="0" w:tplc="8D8CD2EA">
      <w:start w:val="1"/>
      <w:numFmt w:val="upperRoman"/>
      <w:pStyle w:val="Heading1"/>
      <w:lvlText w:val="%1."/>
      <w:lvlJc w:val="left"/>
      <w:pPr>
        <w:ind w:left="7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702B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9C53A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3EAFF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10DA62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2AA80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8C5E60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C0C5A0A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C8B75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DC4FD0"/>
    <w:multiLevelType w:val="hybridMultilevel"/>
    <w:tmpl w:val="3E98BB4C"/>
    <w:lvl w:ilvl="0" w:tplc="F6281A5E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967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B621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7AB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1AA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5687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CF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D271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04E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E23C20"/>
    <w:multiLevelType w:val="hybridMultilevel"/>
    <w:tmpl w:val="C6CAD898"/>
    <w:lvl w:ilvl="0" w:tplc="DEC82BD4">
      <w:start w:val="1"/>
      <w:numFmt w:val="upperRoman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1EC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2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762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70F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C062D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12C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AEAB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4E1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0A298E"/>
    <w:multiLevelType w:val="hybridMultilevel"/>
    <w:tmpl w:val="D85A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FF"/>
    <w:rsid w:val="000C21E7"/>
    <w:rsid w:val="003671FF"/>
    <w:rsid w:val="00870FE1"/>
    <w:rsid w:val="00E0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2D11E-DA23-4359-B6C5-A277B44A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36" w:lineRule="auto"/>
      <w:ind w:left="-5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44" w:line="237" w:lineRule="auto"/>
      <w:ind w:left="696" w:right="-15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paragraph" w:styleId="ListParagraph">
    <w:name w:val="List Paragraph"/>
    <w:basedOn w:val="Normal"/>
    <w:uiPriority w:val="1"/>
    <w:qFormat/>
    <w:rsid w:val="000C21E7"/>
    <w:pPr>
      <w:widowControl w:val="0"/>
      <w:autoSpaceDE w:val="0"/>
      <w:autoSpaceDN w:val="0"/>
      <w:spacing w:after="0" w:line="240" w:lineRule="auto"/>
      <w:ind w:left="720" w:firstLine="0"/>
      <w:contextualSpacing/>
    </w:pPr>
    <w:rPr>
      <w:color w:val="auto"/>
      <w:sz w:val="2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Farmacie generala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Farmacie generala</dc:title>
  <dc:subject/>
  <dc:creator>informatica 3</dc:creator>
  <cp:keywords/>
  <cp:lastModifiedBy>Violeta Sburlea</cp:lastModifiedBy>
  <cp:revision>4</cp:revision>
  <dcterms:created xsi:type="dcterms:W3CDTF">2025-11-26T11:13:00Z</dcterms:created>
  <dcterms:modified xsi:type="dcterms:W3CDTF">2025-12-08T12:45:00Z</dcterms:modified>
</cp:coreProperties>
</file>