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62" w:rsidRDefault="001A5913" w:rsidP="00740C0C">
      <w:pPr>
        <w:spacing w:after="0"/>
        <w:ind w:left="10" w:right="-15"/>
        <w:jc w:val="center"/>
      </w:pPr>
      <w:r>
        <w:rPr>
          <w:b/>
        </w:rPr>
        <w:t xml:space="preserve">TEMATICA  </w:t>
      </w:r>
    </w:p>
    <w:p w:rsidR="00740C0C" w:rsidRDefault="00D649EE">
      <w:pPr>
        <w:spacing w:after="0"/>
        <w:ind w:left="10" w:right="-15"/>
        <w:jc w:val="center"/>
        <w:rPr>
          <w:b/>
        </w:rPr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 w:rsidR="00740C0C">
        <w:rPr>
          <w:b/>
        </w:rPr>
        <w:t xml:space="preserve"> </w:t>
      </w:r>
      <w:proofErr w:type="spellStart"/>
      <w:r w:rsidR="00740C0C">
        <w:rPr>
          <w:b/>
        </w:rPr>
        <w:t>examenul</w:t>
      </w:r>
      <w:proofErr w:type="spellEnd"/>
      <w:r w:rsidR="00740C0C">
        <w:rPr>
          <w:b/>
        </w:rPr>
        <w:t xml:space="preserve"> de medic specialist </w:t>
      </w:r>
      <w:r>
        <w:rPr>
          <w:b/>
        </w:rPr>
        <w:t xml:space="preserve"> </w:t>
      </w:r>
    </w:p>
    <w:p w:rsidR="00624862" w:rsidRDefault="00D649EE" w:rsidP="00740C0C">
      <w:pPr>
        <w:spacing w:after="0"/>
        <w:ind w:left="10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r>
        <w:rPr>
          <w:b/>
        </w:rPr>
        <w:t xml:space="preserve">  </w:t>
      </w:r>
      <w:r w:rsidR="001A5913">
        <w:rPr>
          <w:b/>
        </w:rPr>
        <w:t>BOLI</w:t>
      </w:r>
      <w:proofErr w:type="gramEnd"/>
      <w:r w:rsidR="001A5913">
        <w:rPr>
          <w:b/>
        </w:rPr>
        <w:t xml:space="preserve"> INFECȚIOASE </w:t>
      </w:r>
    </w:p>
    <w:p w:rsidR="00624862" w:rsidRDefault="001A5913" w:rsidP="00740C0C">
      <w:pPr>
        <w:spacing w:after="0"/>
        <w:ind w:lef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624862" w:rsidRDefault="001A5913">
      <w:pPr>
        <w:spacing w:after="37"/>
        <w:ind w:left="370" w:right="-15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PROBA SCRISĂ </w:t>
      </w:r>
    </w:p>
    <w:p w:rsidR="00624862" w:rsidRDefault="001A5913">
      <w:pPr>
        <w:spacing w:after="41"/>
        <w:ind w:left="0" w:firstLine="0"/>
        <w:jc w:val="left"/>
      </w:pPr>
      <w:r>
        <w:rPr>
          <w:b/>
        </w:rPr>
        <w:t xml:space="preserve"> </w:t>
      </w:r>
    </w:p>
    <w:p w:rsidR="00624862" w:rsidRDefault="001A5913">
      <w:pPr>
        <w:numPr>
          <w:ilvl w:val="1"/>
          <w:numId w:val="2"/>
        </w:numPr>
        <w:ind w:hanging="360"/>
      </w:pPr>
      <w:proofErr w:type="spellStart"/>
      <w:r>
        <w:t>Etiologia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: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agenților</w:t>
      </w:r>
      <w:proofErr w:type="spellEnd"/>
      <w:r>
        <w:t xml:space="preserve"> </w:t>
      </w:r>
      <w:proofErr w:type="spellStart"/>
      <w:r>
        <w:t>microbieni</w:t>
      </w:r>
      <w:proofErr w:type="spellEnd"/>
      <w:r>
        <w:t xml:space="preserve">.  </w:t>
      </w:r>
    </w:p>
    <w:p w:rsidR="00740C0C" w:rsidRDefault="001A5913">
      <w:pPr>
        <w:numPr>
          <w:ilvl w:val="1"/>
          <w:numId w:val="2"/>
        </w:numPr>
        <w:ind w:hanging="360"/>
      </w:pPr>
      <w:proofErr w:type="spellStart"/>
      <w:r>
        <w:t>Mecanismele</w:t>
      </w:r>
      <w:proofErr w:type="spellEnd"/>
      <w:r>
        <w:t xml:space="preserve"> </w:t>
      </w:r>
      <w:proofErr w:type="spellStart"/>
      <w:r>
        <w:t>patogenezei</w:t>
      </w:r>
      <w:proofErr w:type="spellEnd"/>
      <w:r>
        <w:t xml:space="preserve"> </w:t>
      </w:r>
      <w:proofErr w:type="spellStart"/>
      <w:r>
        <w:t>microbiene</w:t>
      </w:r>
      <w:proofErr w:type="spellEnd"/>
      <w:r>
        <w:t xml:space="preserve">. </w:t>
      </w:r>
      <w:proofErr w:type="spellStart"/>
      <w:r>
        <w:t>Modalități</w:t>
      </w:r>
      <w:proofErr w:type="spellEnd"/>
      <w:r>
        <w:t xml:space="preserve"> de </w:t>
      </w:r>
      <w:proofErr w:type="spellStart"/>
      <w:r>
        <w:t>interacțiune</w:t>
      </w:r>
      <w:proofErr w:type="spellEnd"/>
      <w:r>
        <w:t xml:space="preserve"> cu </w:t>
      </w:r>
      <w:proofErr w:type="spellStart"/>
      <w:r>
        <w:t>microorganismele</w:t>
      </w:r>
      <w:proofErr w:type="spellEnd"/>
      <w:r>
        <w:t xml:space="preserve">: </w:t>
      </w:r>
      <w:proofErr w:type="spellStart"/>
      <w:r>
        <w:t>colonizare</w:t>
      </w:r>
      <w:proofErr w:type="spellEnd"/>
      <w:r>
        <w:t xml:space="preserve"> versus </w:t>
      </w:r>
      <w:proofErr w:type="spellStart"/>
      <w:r>
        <w:t>infecție</w:t>
      </w:r>
      <w:proofErr w:type="spellEnd"/>
      <w:r>
        <w:t xml:space="preserve">, </w:t>
      </w:r>
      <w:proofErr w:type="spellStart"/>
      <w:r>
        <w:t>infecție</w:t>
      </w:r>
      <w:proofErr w:type="spellEnd"/>
      <w:r>
        <w:t xml:space="preserve"> </w:t>
      </w:r>
      <w:proofErr w:type="spellStart"/>
      <w:r>
        <w:t>latentă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reactivare</w:t>
      </w:r>
      <w:proofErr w:type="spellEnd"/>
      <w:r>
        <w:t xml:space="preserve">.  </w:t>
      </w:r>
    </w:p>
    <w:p w:rsidR="00624862" w:rsidRDefault="001A5913">
      <w:pPr>
        <w:numPr>
          <w:ilvl w:val="1"/>
          <w:numId w:val="2"/>
        </w:numPr>
        <w:ind w:hanging="360"/>
      </w:pPr>
      <w:proofErr w:type="spellStart"/>
      <w:r>
        <w:t>Mecanismele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imună</w:t>
      </w:r>
      <w:proofErr w:type="spellEnd"/>
      <w:r>
        <w:t xml:space="preserve"> anti-</w:t>
      </w:r>
      <w:proofErr w:type="spellStart"/>
      <w:r>
        <w:t>infecțioasă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imunodepresiilor</w:t>
      </w:r>
      <w:proofErr w:type="spellEnd"/>
      <w:r>
        <w:t xml:space="preserve">. </w:t>
      </w:r>
      <w:proofErr w:type="spellStart"/>
      <w:r>
        <w:t>Abordare</w:t>
      </w:r>
      <w:proofErr w:type="spellEnd"/>
      <w:r>
        <w:t xml:space="preserve"> </w:t>
      </w:r>
      <w:proofErr w:type="spellStart"/>
      <w:r>
        <w:t>diagnostică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terapeutică</w:t>
      </w:r>
      <w:proofErr w:type="spellEnd"/>
      <w:r>
        <w:t xml:space="preserve"> a </w:t>
      </w:r>
      <w:proofErr w:type="spellStart"/>
      <w:r>
        <w:t>neutropenicului</w:t>
      </w:r>
      <w:proofErr w:type="spellEnd"/>
      <w:r>
        <w:t xml:space="preserve"> </w:t>
      </w:r>
      <w:proofErr w:type="spellStart"/>
      <w:r>
        <w:t>febril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Vaccinuri</w:t>
      </w:r>
      <w:proofErr w:type="spellEnd"/>
      <w:r>
        <w:t xml:space="preserve">, </w:t>
      </w:r>
      <w:proofErr w:type="spellStart"/>
      <w:r>
        <w:t>seruri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imunoglobuline</w:t>
      </w:r>
      <w:proofErr w:type="spellEnd"/>
      <w:r>
        <w:t xml:space="preserve">.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vaccinare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parainfecțioase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: </w:t>
      </w:r>
      <w:proofErr w:type="spellStart"/>
      <w:r>
        <w:t>febra</w:t>
      </w:r>
      <w:proofErr w:type="spellEnd"/>
      <w:r>
        <w:t xml:space="preserve">,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adultului</w:t>
      </w:r>
      <w:proofErr w:type="spellEnd"/>
      <w:r>
        <w:t xml:space="preserve">, </w:t>
      </w:r>
      <w:proofErr w:type="spellStart"/>
      <w:r>
        <w:t>șocul</w:t>
      </w:r>
      <w:proofErr w:type="spellEnd"/>
      <w:r>
        <w:t xml:space="preserve"> septic, 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organică</w:t>
      </w:r>
      <w:proofErr w:type="spellEnd"/>
      <w:r>
        <w:t xml:space="preserve"> </w:t>
      </w:r>
      <w:proofErr w:type="spellStart"/>
      <w:r>
        <w:t>sistemică</w:t>
      </w:r>
      <w:proofErr w:type="spellEnd"/>
      <w:r>
        <w:t xml:space="preserve"> </w:t>
      </w:r>
      <w:proofErr w:type="spellStart"/>
      <w:r>
        <w:t>multiplă</w:t>
      </w:r>
      <w:proofErr w:type="spellEnd"/>
      <w:r>
        <w:t xml:space="preserve"> (MSOF).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antibioticelor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Principalele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de </w:t>
      </w:r>
      <w:proofErr w:type="spellStart"/>
      <w:r>
        <w:t>antibiotice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Antibioticoterapia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situatii</w:t>
      </w:r>
      <w:proofErr w:type="spellEnd"/>
      <w:r>
        <w:t xml:space="preserve"> </w:t>
      </w:r>
      <w:proofErr w:type="spellStart"/>
      <w:r>
        <w:t>particulare</w:t>
      </w:r>
      <w:proofErr w:type="spellEnd"/>
      <w:r>
        <w:t xml:space="preserve">: </w:t>
      </w:r>
      <w:proofErr w:type="spellStart"/>
      <w:r>
        <w:t>antibioticoterapia</w:t>
      </w:r>
      <w:proofErr w:type="spellEnd"/>
      <w:r>
        <w:t xml:space="preserve"> la </w:t>
      </w:r>
      <w:proofErr w:type="spellStart"/>
      <w:r>
        <w:t>gravide</w:t>
      </w:r>
      <w:proofErr w:type="spellEnd"/>
      <w:r>
        <w:t xml:space="preserve">, la </w:t>
      </w:r>
      <w:proofErr w:type="spellStart"/>
      <w:r>
        <w:t>femeia</w:t>
      </w:r>
      <w:proofErr w:type="spellEnd"/>
      <w:r>
        <w:t xml:space="preserve"> care </w:t>
      </w:r>
      <w:proofErr w:type="spellStart"/>
      <w:r>
        <w:t>alăptează</w:t>
      </w:r>
      <w:proofErr w:type="spellEnd"/>
      <w:r>
        <w:t xml:space="preserve">, la </w:t>
      </w:r>
      <w:proofErr w:type="spellStart"/>
      <w:r>
        <w:t>pacienții</w:t>
      </w:r>
      <w:proofErr w:type="spellEnd"/>
      <w:r>
        <w:t xml:space="preserve"> cu </w:t>
      </w:r>
      <w:proofErr w:type="spellStart"/>
      <w:r>
        <w:t>insuficiență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>.</w:t>
      </w:r>
      <w:r>
        <w:rPr>
          <w:b/>
          <w:sz w:val="22"/>
        </w:rPr>
        <w:t xml:space="preserve"> </w:t>
      </w:r>
      <w:r>
        <w:t xml:space="preserve">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Rezistența</w:t>
      </w:r>
      <w:proofErr w:type="spellEnd"/>
      <w:r>
        <w:t xml:space="preserve"> </w:t>
      </w:r>
      <w:proofErr w:type="spellStart"/>
      <w:r>
        <w:t>bacteriană</w:t>
      </w:r>
      <w:proofErr w:type="spellEnd"/>
      <w:r>
        <w:t xml:space="preserve"> la </w:t>
      </w:r>
      <w:proofErr w:type="spellStart"/>
      <w:r>
        <w:t>antibiotice</w:t>
      </w:r>
      <w:proofErr w:type="spellEnd"/>
      <w:r>
        <w:t xml:space="preserve">: </w:t>
      </w:r>
      <w:proofErr w:type="spellStart"/>
      <w:r>
        <w:t>mecanisme</w:t>
      </w:r>
      <w:proofErr w:type="spellEnd"/>
      <w:r>
        <w:t xml:space="preserve">, </w:t>
      </w:r>
      <w:proofErr w:type="spellStart"/>
      <w:r>
        <w:t>semnificație</w:t>
      </w:r>
      <w:proofErr w:type="spellEnd"/>
      <w:r>
        <w:t xml:space="preserve">, </w:t>
      </w:r>
      <w:proofErr w:type="spellStart"/>
      <w:r>
        <w:t>modalități</w:t>
      </w:r>
      <w:proofErr w:type="spellEnd"/>
      <w:r>
        <w:t xml:space="preserve"> de </w:t>
      </w:r>
      <w:proofErr w:type="spellStart"/>
      <w:r>
        <w:t>evidențiere</w:t>
      </w:r>
      <w:proofErr w:type="spellEnd"/>
      <w:r>
        <w:t xml:space="preserve">,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Utilizarea</w:t>
      </w:r>
      <w:proofErr w:type="spellEnd"/>
      <w:r>
        <w:t xml:space="preserve"> </w:t>
      </w:r>
      <w:proofErr w:type="spellStart"/>
      <w:r>
        <w:t>judicioasă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antibioticelor</w:t>
      </w:r>
      <w:proofErr w:type="spellEnd"/>
      <w:r>
        <w:t xml:space="preserve">: concept, </w:t>
      </w:r>
      <w:proofErr w:type="spellStart"/>
      <w:r>
        <w:t>implementare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Antibioticoprofilaxia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antivirală</w:t>
      </w:r>
      <w:proofErr w:type="spellEnd"/>
      <w:r>
        <w:t xml:space="preserve">, </w:t>
      </w:r>
      <w:proofErr w:type="spellStart"/>
      <w:r>
        <w:t>antifungică</w:t>
      </w:r>
      <w:proofErr w:type="spellEnd"/>
      <w:r>
        <w:t xml:space="preserve">, </w:t>
      </w:r>
      <w:proofErr w:type="spellStart"/>
      <w:r>
        <w:t>antiparazitară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patogenetic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Febra</w:t>
      </w:r>
      <w:proofErr w:type="spellEnd"/>
      <w:r>
        <w:t xml:space="preserve"> </w:t>
      </w:r>
      <w:proofErr w:type="spellStart"/>
      <w:r>
        <w:t>prelungită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necunoscută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Bolile</w:t>
      </w:r>
      <w:proofErr w:type="spellEnd"/>
      <w:r>
        <w:t xml:space="preserve"> eruptive ale </w:t>
      </w:r>
      <w:proofErr w:type="spellStart"/>
      <w:r>
        <w:t>copilăriei</w:t>
      </w:r>
      <w:proofErr w:type="spellEnd"/>
      <w:r>
        <w:t xml:space="preserve">: </w:t>
      </w:r>
      <w:proofErr w:type="spellStart"/>
      <w:r>
        <w:t>scarlatină</w:t>
      </w:r>
      <w:proofErr w:type="spellEnd"/>
      <w:r>
        <w:t xml:space="preserve">, </w:t>
      </w:r>
      <w:proofErr w:type="spellStart"/>
      <w:r>
        <w:t>rubeolă</w:t>
      </w:r>
      <w:proofErr w:type="spellEnd"/>
      <w:r>
        <w:t xml:space="preserve">, </w:t>
      </w:r>
      <w:proofErr w:type="spellStart"/>
      <w:r>
        <w:t>rujeolă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mână-gură-picior</w:t>
      </w:r>
      <w:proofErr w:type="spellEnd"/>
      <w:r>
        <w:t xml:space="preserve">, </w:t>
      </w:r>
      <w:proofErr w:type="spellStart"/>
      <w:r>
        <w:t>megaleritemul</w:t>
      </w:r>
      <w:proofErr w:type="spellEnd"/>
      <w:r>
        <w:t xml:space="preserve"> </w:t>
      </w:r>
      <w:proofErr w:type="spellStart"/>
      <w:r>
        <w:t>infecțios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 la </w:t>
      </w:r>
      <w:proofErr w:type="spellStart"/>
      <w:r>
        <w:t>gravide</w:t>
      </w:r>
      <w:proofErr w:type="spellEnd"/>
      <w:r>
        <w:t xml:space="preserve">: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infecțiilor</w:t>
      </w:r>
      <w:proofErr w:type="spellEnd"/>
      <w:r>
        <w:t xml:space="preserve"> cu </w:t>
      </w:r>
      <w:proofErr w:type="spellStart"/>
      <w:r>
        <w:t>potențial</w:t>
      </w:r>
      <w:proofErr w:type="spellEnd"/>
      <w:r>
        <w:t xml:space="preserve"> de </w:t>
      </w:r>
      <w:proofErr w:type="spellStart"/>
      <w:r>
        <w:t>transmitere</w:t>
      </w:r>
      <w:proofErr w:type="spellEnd"/>
      <w:r>
        <w:t xml:space="preserve"> </w:t>
      </w:r>
      <w:proofErr w:type="spellStart"/>
      <w:r>
        <w:t>materno-fetală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Infecția</w:t>
      </w:r>
      <w:proofErr w:type="spellEnd"/>
      <w:r>
        <w:t xml:space="preserve"> cu </w:t>
      </w:r>
      <w:proofErr w:type="spellStart"/>
      <w:r>
        <w:t>virusurile</w:t>
      </w:r>
      <w:proofErr w:type="spellEnd"/>
      <w:r>
        <w:t xml:space="preserve"> herpes simplex 1 </w:t>
      </w:r>
      <w:proofErr w:type="spellStart"/>
      <w:r>
        <w:t>și</w:t>
      </w:r>
      <w:proofErr w:type="spellEnd"/>
      <w:r>
        <w:t xml:space="preserve"> 2 (HSV1 </w:t>
      </w:r>
      <w:proofErr w:type="spellStart"/>
      <w:r>
        <w:t>și</w:t>
      </w:r>
      <w:proofErr w:type="spellEnd"/>
      <w:r>
        <w:t xml:space="preserve"> HSV2</w:t>
      </w:r>
      <w:proofErr w:type="gramStart"/>
      <w:r>
        <w:t xml:space="preserve">)  </w:t>
      </w:r>
      <w:proofErr w:type="spellStart"/>
      <w:r>
        <w:t>ș</w:t>
      </w:r>
      <w:proofErr w:type="gramEnd"/>
      <w:r>
        <w:t>i</w:t>
      </w:r>
      <w:proofErr w:type="spellEnd"/>
      <w:r>
        <w:t xml:space="preserve"> </w:t>
      </w:r>
      <w:proofErr w:type="spellStart"/>
      <w:r>
        <w:t>virusul</w:t>
      </w:r>
      <w:proofErr w:type="spellEnd"/>
      <w:r>
        <w:t xml:space="preserve"> </w:t>
      </w:r>
      <w:proofErr w:type="spellStart"/>
      <w:r>
        <w:t>varicelozosterian</w:t>
      </w:r>
      <w:proofErr w:type="spellEnd"/>
      <w:r>
        <w:t xml:space="preserve"> (VZV). </w:t>
      </w:r>
      <w:proofErr w:type="spellStart"/>
      <w:r>
        <w:t>Infecțiile</w:t>
      </w:r>
      <w:proofErr w:type="spellEnd"/>
      <w:r>
        <w:t xml:space="preserve"> cu </w:t>
      </w:r>
      <w:proofErr w:type="spellStart"/>
      <w:r>
        <w:t>virusurile</w:t>
      </w:r>
      <w:proofErr w:type="spellEnd"/>
      <w:r>
        <w:t xml:space="preserve"> </w:t>
      </w:r>
      <w:proofErr w:type="spellStart"/>
      <w:r>
        <w:t>herpetice</w:t>
      </w:r>
      <w:proofErr w:type="spellEnd"/>
      <w:r>
        <w:t xml:space="preserve"> 6</w:t>
      </w:r>
      <w:proofErr w:type="gramStart"/>
      <w:r>
        <w:t>,7</w:t>
      </w:r>
      <w:proofErr w:type="gramEnd"/>
      <w:r>
        <w:t xml:space="preserve"> </w:t>
      </w:r>
      <w:proofErr w:type="spellStart"/>
      <w:r>
        <w:t>și</w:t>
      </w:r>
      <w:proofErr w:type="spellEnd"/>
      <w:r>
        <w:t xml:space="preserve"> 8 (HHV 6,7,8).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Infecția</w:t>
      </w:r>
      <w:proofErr w:type="spellEnd"/>
      <w:r>
        <w:t xml:space="preserve"> cu </w:t>
      </w:r>
      <w:proofErr w:type="spellStart"/>
      <w:r>
        <w:t>citomegalovirus</w:t>
      </w:r>
      <w:proofErr w:type="spellEnd"/>
      <w:r>
        <w:t xml:space="preserve"> (CMV). </w:t>
      </w:r>
      <w:proofErr w:type="spellStart"/>
      <w:r>
        <w:t>Infecția</w:t>
      </w:r>
      <w:proofErr w:type="spellEnd"/>
      <w:r>
        <w:t xml:space="preserve"> cu </w:t>
      </w:r>
      <w:proofErr w:type="spellStart"/>
      <w:r>
        <w:t>virusul</w:t>
      </w:r>
      <w:proofErr w:type="spellEnd"/>
      <w:r>
        <w:t xml:space="preserve"> Epstein Barr (EBV). </w:t>
      </w:r>
      <w:proofErr w:type="spellStart"/>
      <w:r>
        <w:t>Toxoplasmoza</w:t>
      </w:r>
      <w:proofErr w:type="spellEnd"/>
      <w:r>
        <w:t xml:space="preserve">.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diferențial</w:t>
      </w:r>
      <w:proofErr w:type="spellEnd"/>
      <w:r>
        <w:t xml:space="preserve"> al </w:t>
      </w:r>
      <w:proofErr w:type="spellStart"/>
      <w:r>
        <w:t>sindromului</w:t>
      </w:r>
      <w:proofErr w:type="spellEnd"/>
      <w:r>
        <w:t xml:space="preserve"> </w:t>
      </w:r>
      <w:proofErr w:type="spellStart"/>
      <w:r>
        <w:t>mononucleozic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Infecția</w:t>
      </w:r>
      <w:proofErr w:type="spellEnd"/>
      <w:r>
        <w:t xml:space="preserve"> </w:t>
      </w:r>
      <w:proofErr w:type="spellStart"/>
      <w:r>
        <w:t>urliană</w:t>
      </w:r>
      <w:proofErr w:type="spellEnd"/>
      <w:r>
        <w:t xml:space="preserve">.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convulsivă</w:t>
      </w:r>
      <w:proofErr w:type="spellEnd"/>
      <w:r>
        <w:t xml:space="preserve">. </w:t>
      </w:r>
      <w:proofErr w:type="spellStart"/>
      <w:r>
        <w:t>Difteria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r>
        <w:t xml:space="preserve">IACRS: </w:t>
      </w:r>
      <w:proofErr w:type="spellStart"/>
      <w:r>
        <w:t>laringita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, </w:t>
      </w:r>
      <w:proofErr w:type="spellStart"/>
      <w:r>
        <w:t>epiglotita</w:t>
      </w:r>
      <w:proofErr w:type="spellEnd"/>
      <w:r>
        <w:t xml:space="preserve">, </w:t>
      </w:r>
      <w:proofErr w:type="spellStart"/>
      <w:r>
        <w:t>traheobronșita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, </w:t>
      </w:r>
      <w:proofErr w:type="spellStart"/>
      <w:r>
        <w:t>acutizările</w:t>
      </w:r>
      <w:proofErr w:type="spellEnd"/>
      <w:r>
        <w:t xml:space="preserve"> </w:t>
      </w:r>
      <w:proofErr w:type="spellStart"/>
      <w:r>
        <w:t>bronșitelor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spacing w:after="0"/>
        <w:ind w:hanging="360"/>
      </w:pPr>
      <w:proofErr w:type="spellStart"/>
      <w:r>
        <w:t>Gripa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Infecția</w:t>
      </w:r>
      <w:proofErr w:type="spellEnd"/>
      <w:r>
        <w:t xml:space="preserve"> cu SARS-CoV-2.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lastRenderedPageBreak/>
        <w:t>Infecția</w:t>
      </w:r>
      <w:proofErr w:type="spellEnd"/>
      <w:r>
        <w:t xml:space="preserve"> </w:t>
      </w:r>
      <w:proofErr w:type="spellStart"/>
      <w:r>
        <w:t>stafilococică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Infecția</w:t>
      </w:r>
      <w:proofErr w:type="spellEnd"/>
      <w:r>
        <w:t xml:space="preserve"> </w:t>
      </w:r>
      <w:proofErr w:type="spellStart"/>
      <w:r>
        <w:t>meningococică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cu </w:t>
      </w:r>
      <w:proofErr w:type="spellStart"/>
      <w:r>
        <w:t>enterobacterii</w:t>
      </w:r>
      <w:proofErr w:type="spellEnd"/>
      <w:r>
        <w:t xml:space="preserve"> (cu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infecțiilor</w:t>
      </w:r>
      <w:proofErr w:type="spellEnd"/>
      <w:r>
        <w:t xml:space="preserve"> digestive).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cu </w:t>
      </w:r>
      <w:proofErr w:type="spellStart"/>
      <w:r>
        <w:t>bacili</w:t>
      </w:r>
      <w:proofErr w:type="spellEnd"/>
      <w:r>
        <w:t xml:space="preserve"> Gram </w:t>
      </w:r>
      <w:proofErr w:type="spellStart"/>
      <w:r>
        <w:t>negativi</w:t>
      </w:r>
      <w:proofErr w:type="spellEnd"/>
      <w:r>
        <w:t xml:space="preserve"> non-</w:t>
      </w:r>
      <w:proofErr w:type="spellStart"/>
      <w:r>
        <w:t>fermentativi</w:t>
      </w:r>
      <w:proofErr w:type="spellEnd"/>
      <w:r>
        <w:t xml:space="preserve">: </w:t>
      </w:r>
      <w:r>
        <w:rPr>
          <w:i/>
          <w:u w:val="single" w:color="000000"/>
        </w:rPr>
        <w:t xml:space="preserve">P </w:t>
      </w:r>
      <w:proofErr w:type="spellStart"/>
      <w:r>
        <w:rPr>
          <w:i/>
          <w:u w:val="single" w:color="000000"/>
        </w:rPr>
        <w:t>aeruginosa</w:t>
      </w:r>
      <w:proofErr w:type="spellEnd"/>
      <w:r>
        <w:rPr>
          <w:i/>
          <w:u w:val="single" w:color="000000"/>
        </w:rPr>
        <w:t xml:space="preserve">, </w:t>
      </w:r>
      <w:proofErr w:type="spellStart"/>
      <w:r>
        <w:rPr>
          <w:i/>
          <w:u w:val="single" w:color="000000"/>
        </w:rPr>
        <w:t>Acinetobacter</w:t>
      </w:r>
      <w:proofErr w:type="spellEnd"/>
      <w:r>
        <w:rPr>
          <w:i/>
        </w:rPr>
        <w:t xml:space="preserve"> </w:t>
      </w:r>
      <w:r>
        <w:rPr>
          <w:i/>
          <w:u w:val="single" w:color="000000"/>
        </w:rPr>
        <w:t>spp.</w:t>
      </w:r>
      <w:r>
        <w:rPr>
          <w:i/>
        </w:rPr>
        <w:t xml:space="preserve">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Pneumoniile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. </w:t>
      </w:r>
      <w:proofErr w:type="spellStart"/>
      <w:r>
        <w:t>Supurațiile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. </w:t>
      </w:r>
      <w:proofErr w:type="spellStart"/>
      <w:r>
        <w:t>Pleureziile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ORL: </w:t>
      </w:r>
      <w:proofErr w:type="spellStart"/>
      <w:r>
        <w:t>angine</w:t>
      </w:r>
      <w:proofErr w:type="spellEnd"/>
      <w:r>
        <w:t xml:space="preserve">, </w:t>
      </w:r>
      <w:proofErr w:type="spellStart"/>
      <w:r>
        <w:t>stomatite</w:t>
      </w:r>
      <w:proofErr w:type="spellEnd"/>
      <w:r>
        <w:t xml:space="preserve"> acute, </w:t>
      </w:r>
      <w:proofErr w:type="spellStart"/>
      <w:r>
        <w:t>rinosinuzite</w:t>
      </w:r>
      <w:proofErr w:type="spellEnd"/>
      <w:r>
        <w:t xml:space="preserve">, </w:t>
      </w:r>
      <w:proofErr w:type="spellStart"/>
      <w:r>
        <w:t>otite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Meningita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de </w:t>
      </w:r>
      <w:proofErr w:type="spellStart"/>
      <w:r>
        <w:t>etiologie</w:t>
      </w:r>
      <w:proofErr w:type="spellEnd"/>
      <w:r>
        <w:t xml:space="preserve"> </w:t>
      </w:r>
      <w:proofErr w:type="spellStart"/>
      <w:r>
        <w:t>bacteriană</w:t>
      </w:r>
      <w:proofErr w:type="spellEnd"/>
      <w:r>
        <w:t xml:space="preserve">, </w:t>
      </w:r>
      <w:proofErr w:type="spellStart"/>
      <w:r>
        <w:t>virală</w:t>
      </w:r>
      <w:proofErr w:type="spellEnd"/>
      <w:r>
        <w:t xml:space="preserve">, </w:t>
      </w:r>
      <w:proofErr w:type="spellStart"/>
      <w:r>
        <w:t>tuberculoasă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fungică</w:t>
      </w:r>
      <w:proofErr w:type="spellEnd"/>
      <w:r>
        <w:t xml:space="preserve">. </w:t>
      </w:r>
    </w:p>
    <w:p w:rsidR="00624862" w:rsidRDefault="001A5913">
      <w:pPr>
        <w:ind w:left="1450"/>
      </w:pPr>
      <w:proofErr w:type="spellStart"/>
      <w:r>
        <w:t>Encefalitele</w:t>
      </w:r>
      <w:proofErr w:type="spellEnd"/>
      <w:r>
        <w:t xml:space="preserve"> acute (</w:t>
      </w:r>
      <w:proofErr w:type="spellStart"/>
      <w:r>
        <w:t>infecțioase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postinfecțioase</w:t>
      </w:r>
      <w:proofErr w:type="spellEnd"/>
      <w:r>
        <w:t xml:space="preserve">).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Mielitele</w:t>
      </w:r>
      <w:proofErr w:type="spellEnd"/>
      <w:r>
        <w:t xml:space="preserve">, </w:t>
      </w:r>
      <w:proofErr w:type="spellStart"/>
      <w:r>
        <w:t>polinevritele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neuroviroze</w:t>
      </w:r>
      <w:proofErr w:type="spellEnd"/>
      <w:r>
        <w:t xml:space="preserve">. 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diareice</w:t>
      </w:r>
      <w:proofErr w:type="spellEnd"/>
      <w:r>
        <w:t xml:space="preserve">: </w:t>
      </w:r>
      <w:proofErr w:type="spellStart"/>
      <w:r>
        <w:t>etiologie</w:t>
      </w:r>
      <w:proofErr w:type="spellEnd"/>
      <w:r>
        <w:t xml:space="preserve">, </w:t>
      </w:r>
      <w:proofErr w:type="spellStart"/>
      <w:r>
        <w:t>patogenie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</w:t>
      </w:r>
      <w:proofErr w:type="spellStart"/>
      <w:r>
        <w:t>Toxiinfecțiile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Infecțiile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diareice</w:t>
      </w:r>
      <w:proofErr w:type="spellEnd"/>
      <w:r>
        <w:t xml:space="preserve"> cu </w:t>
      </w:r>
      <w:proofErr w:type="spellStart"/>
      <w:r>
        <w:t>etiologie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: </w:t>
      </w:r>
      <w:proofErr w:type="spellStart"/>
      <w:r>
        <w:t>infecția</w:t>
      </w:r>
      <w:proofErr w:type="spellEnd"/>
      <w:r>
        <w:t xml:space="preserve"> cu </w:t>
      </w:r>
      <w:proofErr w:type="spellStart"/>
      <w:r>
        <w:rPr>
          <w:i/>
        </w:rPr>
        <w:t>Clostridioides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difficile</w:t>
      </w:r>
      <w:proofErr w:type="spellEnd"/>
      <w:r>
        <w:t xml:space="preserve">. </w:t>
      </w:r>
    </w:p>
    <w:p w:rsidR="00624862" w:rsidRDefault="001A5913">
      <w:pPr>
        <w:ind w:left="1450"/>
      </w:pPr>
      <w:proofErr w:type="spellStart"/>
      <w:proofErr w:type="gramStart"/>
      <w:r>
        <w:t>dizenteria</w:t>
      </w:r>
      <w:proofErr w:type="spellEnd"/>
      <w:proofErr w:type="gramEnd"/>
      <w:r>
        <w:t xml:space="preserve"> </w:t>
      </w:r>
      <w:proofErr w:type="spellStart"/>
      <w:r>
        <w:t>bacteriană</w:t>
      </w:r>
      <w:proofErr w:type="spellEnd"/>
      <w:r>
        <w:t xml:space="preserve">, </w:t>
      </w:r>
      <w:proofErr w:type="spellStart"/>
      <w:r>
        <w:t>holera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infecții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Bolile</w:t>
      </w:r>
      <w:proofErr w:type="spellEnd"/>
      <w:r>
        <w:t xml:space="preserve"> cu </w:t>
      </w:r>
      <w:proofErr w:type="spellStart"/>
      <w:r>
        <w:t>mecanism</w:t>
      </w:r>
      <w:proofErr w:type="spellEnd"/>
      <w:r>
        <w:t xml:space="preserve"> </w:t>
      </w:r>
      <w:proofErr w:type="spellStart"/>
      <w:r>
        <w:t>toxinic</w:t>
      </w:r>
      <w:proofErr w:type="spellEnd"/>
      <w:r>
        <w:t xml:space="preserve">: botulism, </w:t>
      </w:r>
      <w:proofErr w:type="spellStart"/>
      <w:r>
        <w:t>antrax</w:t>
      </w:r>
      <w:proofErr w:type="spellEnd"/>
      <w:r>
        <w:t xml:space="preserve">, </w:t>
      </w:r>
      <w:proofErr w:type="spellStart"/>
      <w:r>
        <w:t>tetanos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Zoonozele</w:t>
      </w:r>
      <w:proofErr w:type="spellEnd"/>
      <w:r>
        <w:t xml:space="preserve">: </w:t>
      </w:r>
      <w:proofErr w:type="spellStart"/>
      <w:r>
        <w:t>trichineloza</w:t>
      </w:r>
      <w:proofErr w:type="spellEnd"/>
      <w:r>
        <w:t xml:space="preserve">, </w:t>
      </w:r>
      <w:proofErr w:type="spellStart"/>
      <w:r>
        <w:t>bruceloza</w:t>
      </w:r>
      <w:proofErr w:type="spellEnd"/>
      <w:r>
        <w:t xml:space="preserve">, </w:t>
      </w:r>
      <w:proofErr w:type="spellStart"/>
      <w:proofErr w:type="gramStart"/>
      <w:r>
        <w:t>rabia</w:t>
      </w:r>
      <w:proofErr w:type="spellEnd"/>
      <w:proofErr w:type="gram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diferential</w:t>
      </w:r>
      <w:proofErr w:type="spellEnd"/>
      <w:r>
        <w:t xml:space="preserve"> al </w:t>
      </w:r>
      <w:proofErr w:type="spellStart"/>
      <w:r>
        <w:t>icterelor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Infecția</w:t>
      </w:r>
      <w:proofErr w:type="spellEnd"/>
      <w:r>
        <w:t xml:space="preserve"> cu </w:t>
      </w:r>
      <w:proofErr w:type="spellStart"/>
      <w:r>
        <w:t>virusul</w:t>
      </w:r>
      <w:proofErr w:type="spellEnd"/>
      <w:r>
        <w:t xml:space="preserve"> </w:t>
      </w:r>
      <w:proofErr w:type="spellStart"/>
      <w:r>
        <w:t>imunodeficienței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(HIV). 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de import: </w:t>
      </w:r>
      <w:proofErr w:type="spellStart"/>
      <w:r>
        <w:t>febrele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, malaria, </w:t>
      </w:r>
      <w:proofErr w:type="spellStart"/>
      <w:r>
        <w:t>febra</w:t>
      </w:r>
      <w:proofErr w:type="spellEnd"/>
      <w:r>
        <w:t xml:space="preserve"> </w:t>
      </w:r>
      <w:proofErr w:type="spellStart"/>
      <w:r>
        <w:t>tifoida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paratifoidă</w:t>
      </w:r>
      <w:proofErr w:type="spellEnd"/>
      <w:r>
        <w:t xml:space="preserve">, </w:t>
      </w:r>
      <w:proofErr w:type="spellStart"/>
      <w:r>
        <w:t>diareea</w:t>
      </w:r>
      <w:proofErr w:type="spellEnd"/>
      <w:r>
        <w:t xml:space="preserve"> </w:t>
      </w:r>
      <w:proofErr w:type="spellStart"/>
      <w:r>
        <w:t>calatorului</w:t>
      </w:r>
      <w:proofErr w:type="spellEnd"/>
      <w:r>
        <w:t xml:space="preserve">, </w:t>
      </w:r>
      <w:proofErr w:type="spellStart"/>
      <w:r>
        <w:t>dizenteria</w:t>
      </w:r>
      <w:proofErr w:type="spellEnd"/>
      <w:r>
        <w:t xml:space="preserve"> </w:t>
      </w:r>
      <w:proofErr w:type="spellStart"/>
      <w:r>
        <w:t>amoebiană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Leptospiroza</w:t>
      </w:r>
      <w:proofErr w:type="spellEnd"/>
      <w:r>
        <w:t xml:space="preserve">. </w:t>
      </w:r>
      <w:proofErr w:type="spellStart"/>
      <w:r>
        <w:t>Boala</w:t>
      </w:r>
      <w:proofErr w:type="spellEnd"/>
      <w:r>
        <w:t xml:space="preserve"> Lyme. </w:t>
      </w:r>
      <w:proofErr w:type="spellStart"/>
      <w:r>
        <w:t>Febra</w:t>
      </w:r>
      <w:proofErr w:type="spellEnd"/>
      <w:r>
        <w:t xml:space="preserve"> </w:t>
      </w:r>
      <w:proofErr w:type="spellStart"/>
      <w:r>
        <w:t>recurentă</w:t>
      </w:r>
      <w:proofErr w:type="spellEnd"/>
      <w:r>
        <w:t xml:space="preserve">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Rickettsiozele</w:t>
      </w:r>
      <w:proofErr w:type="spellEnd"/>
      <w:r>
        <w:t xml:space="preserve">: </w:t>
      </w:r>
      <w:proofErr w:type="spellStart"/>
      <w:r>
        <w:t>tifosul</w:t>
      </w:r>
      <w:proofErr w:type="spellEnd"/>
      <w:r>
        <w:t xml:space="preserve"> </w:t>
      </w:r>
      <w:proofErr w:type="spellStart"/>
      <w:r>
        <w:t>exantematic</w:t>
      </w:r>
      <w:proofErr w:type="spellEnd"/>
      <w:r>
        <w:t xml:space="preserve">, </w:t>
      </w:r>
      <w:proofErr w:type="spellStart"/>
      <w:r>
        <w:t>febra</w:t>
      </w:r>
      <w:proofErr w:type="spellEnd"/>
      <w:r>
        <w:t xml:space="preserve"> </w:t>
      </w:r>
      <w:proofErr w:type="spellStart"/>
      <w:r>
        <w:t>butonoasă</w:t>
      </w:r>
      <w:proofErr w:type="spellEnd"/>
      <w:r>
        <w:t xml:space="preserve">, </w:t>
      </w:r>
      <w:proofErr w:type="spellStart"/>
      <w:r>
        <w:t>febra</w:t>
      </w:r>
      <w:proofErr w:type="spellEnd"/>
      <w:r>
        <w:t xml:space="preserve"> Q.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Sepsisul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Endocarditele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fungice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. 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: </w:t>
      </w:r>
      <w:proofErr w:type="spellStart"/>
      <w:r>
        <w:t>cistite</w:t>
      </w:r>
      <w:proofErr w:type="spellEnd"/>
      <w:r>
        <w:t xml:space="preserve">, </w:t>
      </w:r>
      <w:proofErr w:type="spellStart"/>
      <w:r>
        <w:t>pielonefrita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, </w:t>
      </w:r>
      <w:proofErr w:type="spellStart"/>
      <w:r>
        <w:t>abcesul</w:t>
      </w:r>
      <w:proofErr w:type="spellEnd"/>
      <w:r>
        <w:t xml:space="preserve"> renal, </w:t>
      </w:r>
      <w:proofErr w:type="spellStart"/>
      <w:r>
        <w:t>prostatita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(IAAM): </w:t>
      </w:r>
      <w:proofErr w:type="spellStart"/>
      <w:r>
        <w:t>definiții</w:t>
      </w:r>
      <w:proofErr w:type="spellEnd"/>
      <w:r>
        <w:t xml:space="preserve">, </w:t>
      </w:r>
      <w:proofErr w:type="spellStart"/>
      <w:r>
        <w:t>etiologie</w:t>
      </w:r>
      <w:proofErr w:type="spellEnd"/>
      <w:r>
        <w:t xml:space="preserve">, </w:t>
      </w:r>
      <w:proofErr w:type="spellStart"/>
      <w:r>
        <w:t>tablou</w:t>
      </w:r>
      <w:proofErr w:type="spellEnd"/>
      <w:r>
        <w:t xml:space="preserve"> clinic.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Prevenirea</w:t>
      </w:r>
      <w:proofErr w:type="spellEnd"/>
      <w:r>
        <w:t xml:space="preserve"> IAAM: </w:t>
      </w:r>
      <w:proofErr w:type="spellStart"/>
      <w:r>
        <w:t>precauții</w:t>
      </w:r>
      <w:proofErr w:type="spellEnd"/>
      <w:r>
        <w:t xml:space="preserve"> </w:t>
      </w:r>
      <w:proofErr w:type="spellStart"/>
      <w:r>
        <w:t>universale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căile</w:t>
      </w:r>
      <w:proofErr w:type="spellEnd"/>
      <w:r>
        <w:t xml:space="preserve"> de </w:t>
      </w:r>
      <w:proofErr w:type="spellStart"/>
      <w:r>
        <w:t>transmitere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pachete</w:t>
      </w:r>
      <w:proofErr w:type="spellEnd"/>
      <w:r>
        <w:t xml:space="preserve"> de </w:t>
      </w:r>
      <w:proofErr w:type="spellStart"/>
      <w:r>
        <w:t>măsuri</w:t>
      </w:r>
      <w:proofErr w:type="spellEnd"/>
      <w:r>
        <w:t xml:space="preserve">.  </w:t>
      </w:r>
    </w:p>
    <w:p w:rsidR="00740C0C" w:rsidRDefault="001A5913">
      <w:pPr>
        <w:numPr>
          <w:ilvl w:val="0"/>
          <w:numId w:val="1"/>
        </w:numPr>
        <w:ind w:hanging="360"/>
      </w:pPr>
      <w:r>
        <w:t xml:space="preserve">Pneumonia </w:t>
      </w:r>
      <w:proofErr w:type="spellStart"/>
      <w:r>
        <w:t>asociată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asociată</w:t>
      </w:r>
      <w:proofErr w:type="spellEnd"/>
      <w:r>
        <w:t xml:space="preserve"> </w:t>
      </w:r>
      <w:proofErr w:type="spellStart"/>
      <w:r>
        <w:t>ventilației</w:t>
      </w:r>
      <w:proofErr w:type="spellEnd"/>
      <w:r>
        <w:t xml:space="preserve"> </w:t>
      </w:r>
      <w:proofErr w:type="spellStart"/>
      <w:r>
        <w:t>mecanice</w:t>
      </w:r>
      <w:proofErr w:type="spellEnd"/>
      <w:r>
        <w:t xml:space="preserve">). </w:t>
      </w:r>
    </w:p>
    <w:p w:rsidR="00740C0C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plăgilor</w:t>
      </w:r>
      <w:proofErr w:type="spellEnd"/>
      <w:r>
        <w:t xml:space="preserve"> </w:t>
      </w:r>
      <w:proofErr w:type="spellStart"/>
      <w:r>
        <w:t>postoperatorii</w:t>
      </w:r>
      <w:proofErr w:type="spellEnd"/>
      <w:r>
        <w:t xml:space="preserve">: </w:t>
      </w:r>
      <w:proofErr w:type="spellStart"/>
      <w:r>
        <w:t>profilaxie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 </w:t>
      </w:r>
    </w:p>
    <w:p w:rsidR="00624862" w:rsidRDefault="001A5913">
      <w:pPr>
        <w:numPr>
          <w:ilvl w:val="0"/>
          <w:numId w:val="1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intraabdominale</w:t>
      </w:r>
      <w:proofErr w:type="spellEnd"/>
      <w:r>
        <w:t xml:space="preserve">.   </w:t>
      </w:r>
    </w:p>
    <w:p w:rsidR="00624862" w:rsidRDefault="001A5913">
      <w:pPr>
        <w:numPr>
          <w:ilvl w:val="0"/>
          <w:numId w:val="3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osteoarticulare</w:t>
      </w:r>
      <w:proofErr w:type="spellEnd"/>
      <w:r>
        <w:t xml:space="preserve">. </w:t>
      </w:r>
      <w:proofErr w:type="spellStart"/>
      <w:r>
        <w:t>Spondilodiscita</w:t>
      </w:r>
      <w:proofErr w:type="spellEnd"/>
      <w:r>
        <w:t xml:space="preserve">. </w:t>
      </w:r>
      <w:proofErr w:type="spellStart"/>
      <w:r>
        <w:t>Artritele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. </w:t>
      </w:r>
    </w:p>
    <w:p w:rsidR="00624862" w:rsidRDefault="001A5913">
      <w:pPr>
        <w:numPr>
          <w:ilvl w:val="0"/>
          <w:numId w:val="3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țesuturi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. </w:t>
      </w:r>
      <w:proofErr w:type="spellStart"/>
      <w:r>
        <w:t>Gangrena</w:t>
      </w:r>
      <w:proofErr w:type="spellEnd"/>
      <w:r>
        <w:t xml:space="preserve"> </w:t>
      </w:r>
      <w:proofErr w:type="spellStart"/>
      <w:r>
        <w:t>gazoasă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infecții</w:t>
      </w:r>
      <w:proofErr w:type="spellEnd"/>
      <w:r>
        <w:t xml:space="preserve"> cu </w:t>
      </w:r>
      <w:proofErr w:type="spellStart"/>
      <w:r>
        <w:t>clostridii</w:t>
      </w:r>
      <w:proofErr w:type="spellEnd"/>
      <w:r>
        <w:t xml:space="preserve">.  </w:t>
      </w:r>
      <w:proofErr w:type="spellStart"/>
      <w:r>
        <w:t>Piciorul</w:t>
      </w:r>
      <w:proofErr w:type="spellEnd"/>
      <w:r>
        <w:t xml:space="preserve"> diabetic </w:t>
      </w:r>
    </w:p>
    <w:p w:rsidR="00624862" w:rsidRDefault="001A5913">
      <w:pPr>
        <w:numPr>
          <w:ilvl w:val="0"/>
          <w:numId w:val="3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particulare</w:t>
      </w:r>
      <w:proofErr w:type="spellEnd"/>
      <w:r>
        <w:t xml:space="preserve">: </w:t>
      </w:r>
      <w:proofErr w:type="spellStart"/>
      <w:r>
        <w:t>pacienți</w:t>
      </w:r>
      <w:proofErr w:type="spellEnd"/>
      <w:r>
        <w:t xml:space="preserve"> cu </w:t>
      </w:r>
      <w:proofErr w:type="spellStart"/>
      <w:r>
        <w:t>dispozitive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consumatori</w:t>
      </w:r>
      <w:proofErr w:type="spellEnd"/>
      <w:r>
        <w:t xml:space="preserve"> de </w:t>
      </w:r>
      <w:proofErr w:type="spellStart"/>
      <w:r>
        <w:t>droguri</w:t>
      </w:r>
      <w:proofErr w:type="spellEnd"/>
      <w:r>
        <w:t xml:space="preserve"> </w:t>
      </w:r>
      <w:proofErr w:type="gramStart"/>
      <w:r>
        <w:t>iv</w:t>
      </w:r>
      <w:proofErr w:type="gramEnd"/>
      <w:r>
        <w:t xml:space="preserve">, </w:t>
      </w:r>
      <w:proofErr w:type="spellStart"/>
      <w:r>
        <w:t>marii</w:t>
      </w:r>
      <w:proofErr w:type="spellEnd"/>
      <w:r>
        <w:t xml:space="preserve"> </w:t>
      </w:r>
      <w:proofErr w:type="spellStart"/>
      <w:r>
        <w:t>arși</w:t>
      </w:r>
      <w:proofErr w:type="spellEnd"/>
      <w:r>
        <w:t xml:space="preserve">.  </w:t>
      </w:r>
    </w:p>
    <w:p w:rsidR="00624862" w:rsidRDefault="001A5913">
      <w:pPr>
        <w:numPr>
          <w:ilvl w:val="0"/>
          <w:numId w:val="3"/>
        </w:numPr>
        <w:spacing w:after="0"/>
        <w:ind w:hanging="360"/>
      </w:pPr>
      <w:proofErr w:type="spellStart"/>
      <w:r>
        <w:lastRenderedPageBreak/>
        <w:t>Expunere</w:t>
      </w:r>
      <w:proofErr w:type="spellEnd"/>
      <w:r>
        <w:t xml:space="preserve"> </w:t>
      </w:r>
      <w:proofErr w:type="spellStart"/>
      <w:r>
        <w:t>accidentală</w:t>
      </w:r>
      <w:proofErr w:type="spellEnd"/>
      <w:r>
        <w:t xml:space="preserve"> la </w:t>
      </w:r>
      <w:proofErr w:type="spellStart"/>
      <w:r>
        <w:t>sângele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îmbolnăvirii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medical. </w:t>
      </w:r>
    </w:p>
    <w:p w:rsidR="00624862" w:rsidRDefault="001A5913" w:rsidP="00740C0C">
      <w:pPr>
        <w:spacing w:after="4"/>
        <w:ind w:left="0" w:firstLine="0"/>
        <w:jc w:val="left"/>
      </w:pPr>
      <w:r>
        <w:t xml:space="preserve"> </w:t>
      </w:r>
    </w:p>
    <w:p w:rsidR="00624862" w:rsidRPr="00D649EE" w:rsidRDefault="001A5913" w:rsidP="00D649EE">
      <w:pPr>
        <w:pStyle w:val="ListParagraph"/>
        <w:numPr>
          <w:ilvl w:val="0"/>
          <w:numId w:val="4"/>
        </w:numPr>
        <w:rPr>
          <w:b/>
        </w:rPr>
      </w:pPr>
      <w:r w:rsidRPr="00D649EE">
        <w:rPr>
          <w:b/>
        </w:rPr>
        <w:t xml:space="preserve">PROBA CLINICĂ </w:t>
      </w:r>
      <w:r w:rsidR="00D649EE" w:rsidRPr="00D649EE">
        <w:rPr>
          <w:b/>
        </w:rPr>
        <w:t xml:space="preserve"> </w:t>
      </w:r>
    </w:p>
    <w:p w:rsidR="00624862" w:rsidRDefault="001A5913">
      <w:pPr>
        <w:spacing w:after="0"/>
        <w:ind w:left="10"/>
      </w:pPr>
      <w:proofErr w:type="spellStart"/>
      <w:r>
        <w:t>Cazuri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din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infecțioase</w:t>
      </w:r>
      <w:proofErr w:type="spellEnd"/>
      <w:r>
        <w:t xml:space="preserve"> enumerate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. </w:t>
      </w:r>
    </w:p>
    <w:p w:rsidR="00624862" w:rsidRDefault="001A5913">
      <w:pPr>
        <w:spacing w:after="54"/>
        <w:ind w:left="0" w:firstLine="0"/>
        <w:jc w:val="left"/>
      </w:pPr>
      <w:r>
        <w:t xml:space="preserve"> </w:t>
      </w:r>
    </w:p>
    <w:p w:rsidR="00624862" w:rsidRDefault="001A5913">
      <w:pPr>
        <w:numPr>
          <w:ilvl w:val="0"/>
          <w:numId w:val="4"/>
        </w:numPr>
        <w:spacing w:after="37"/>
        <w:ind w:right="-15" w:hanging="400"/>
        <w:jc w:val="left"/>
      </w:pPr>
      <w:r>
        <w:rPr>
          <w:b/>
        </w:rPr>
        <w:t xml:space="preserve">PROBA PRACTICĂ (de </w:t>
      </w:r>
      <w:proofErr w:type="spellStart"/>
      <w:r>
        <w:rPr>
          <w:b/>
        </w:rPr>
        <w:t>laborator</w:t>
      </w:r>
      <w:proofErr w:type="spellEnd"/>
      <w:r>
        <w:rPr>
          <w:b/>
        </w:rPr>
        <w:t xml:space="preserve">) </w:t>
      </w:r>
    </w:p>
    <w:p w:rsidR="00624862" w:rsidRDefault="001A5913">
      <w:pPr>
        <w:numPr>
          <w:ilvl w:val="1"/>
          <w:numId w:val="4"/>
        </w:numPr>
        <w:ind w:hanging="360"/>
      </w:pPr>
      <w:r>
        <w:t>LCR:</w:t>
      </w:r>
      <w:r>
        <w:rPr>
          <w:sz w:val="22"/>
        </w:rPr>
        <w:t xml:space="preserve">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ind w:hanging="360"/>
      </w:pPr>
      <w:proofErr w:type="spellStart"/>
      <w:r>
        <w:t>Hemocultura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spacing w:after="0"/>
        <w:ind w:hanging="360"/>
      </w:pPr>
      <w:proofErr w:type="spellStart"/>
      <w:r>
        <w:t>Urocultura</w:t>
      </w:r>
      <w:proofErr w:type="spellEnd"/>
      <w:r>
        <w:t>:</w:t>
      </w:r>
      <w:r>
        <w:rPr>
          <w:sz w:val="22"/>
        </w:rPr>
        <w:t xml:space="preserve">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ind w:hanging="360"/>
      </w:pPr>
      <w:proofErr w:type="spellStart"/>
      <w:r>
        <w:t>Exsudatul</w:t>
      </w:r>
      <w:proofErr w:type="spellEnd"/>
      <w:r>
        <w:t xml:space="preserve"> </w:t>
      </w:r>
      <w:proofErr w:type="spellStart"/>
      <w:r>
        <w:t>faringian</w:t>
      </w:r>
      <w:proofErr w:type="spellEnd"/>
      <w:r>
        <w:t xml:space="preserve">: </w:t>
      </w:r>
      <w:proofErr w:type="spellStart"/>
      <w:r>
        <w:t>recoltare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ind w:hanging="360"/>
      </w:pPr>
      <w:proofErr w:type="spellStart"/>
      <w:r>
        <w:t>Examinarea</w:t>
      </w:r>
      <w:proofErr w:type="spellEnd"/>
      <w:r>
        <w:t xml:space="preserve"> </w:t>
      </w:r>
      <w:proofErr w:type="spellStart"/>
      <w:r>
        <w:t>puroiului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spacing w:after="0"/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materiilor</w:t>
      </w:r>
      <w:proofErr w:type="spellEnd"/>
      <w:r>
        <w:t xml:space="preserve"> </w:t>
      </w:r>
      <w:proofErr w:type="spellStart"/>
      <w:r>
        <w:t>fecale</w:t>
      </w:r>
      <w:proofErr w:type="spellEnd"/>
      <w:r>
        <w:t xml:space="preserve"> (</w:t>
      </w:r>
      <w:proofErr w:type="spellStart"/>
      <w:r>
        <w:t>coprocitogramă</w:t>
      </w:r>
      <w:proofErr w:type="spellEnd"/>
      <w:r>
        <w:t xml:space="preserve">, </w:t>
      </w:r>
      <w:proofErr w:type="spellStart"/>
      <w:r>
        <w:t>coprocultură</w:t>
      </w:r>
      <w:proofErr w:type="spellEnd"/>
      <w:r>
        <w:t xml:space="preserve">):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spacing w:after="0"/>
        <w:ind w:hanging="360"/>
      </w:pPr>
      <w:proofErr w:type="spellStart"/>
      <w:r>
        <w:t>Antibiograma</w:t>
      </w:r>
      <w:proofErr w:type="spellEnd"/>
      <w:r>
        <w:t xml:space="preserve">: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ind w:hanging="360"/>
      </w:pPr>
      <w:proofErr w:type="spellStart"/>
      <w:r>
        <w:t>Testele</w:t>
      </w:r>
      <w:proofErr w:type="spellEnd"/>
      <w:r>
        <w:t xml:space="preserve"> </w:t>
      </w:r>
      <w:proofErr w:type="spellStart"/>
      <w:r>
        <w:t>serologice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>
      <w:pPr>
        <w:numPr>
          <w:ilvl w:val="1"/>
          <w:numId w:val="4"/>
        </w:numPr>
        <w:ind w:hanging="360"/>
      </w:pPr>
      <w:proofErr w:type="spellStart"/>
      <w:r>
        <w:t>Examinarea</w:t>
      </w:r>
      <w:proofErr w:type="spellEnd"/>
      <w:r>
        <w:t xml:space="preserve"> </w:t>
      </w:r>
      <w:proofErr w:type="spellStart"/>
      <w:r>
        <w:t>imagistică</w:t>
      </w:r>
      <w:proofErr w:type="spellEnd"/>
      <w:r>
        <w:t xml:space="preserve"> a </w:t>
      </w:r>
      <w:proofErr w:type="spellStart"/>
      <w:r>
        <w:t>plămânului</w:t>
      </w:r>
      <w:proofErr w:type="spellEnd"/>
      <w:r>
        <w:t xml:space="preserve">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radiografii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CT </w:t>
      </w:r>
      <w:proofErr w:type="spellStart"/>
      <w:proofErr w:type="gramStart"/>
      <w:r>
        <w:t>pulmonar</w:t>
      </w:r>
      <w:proofErr w:type="spellEnd"/>
      <w:proofErr w:type="gramEnd"/>
      <w:r>
        <w:t xml:space="preserve">. </w:t>
      </w:r>
    </w:p>
    <w:p w:rsidR="00624862" w:rsidRDefault="001A5913">
      <w:pPr>
        <w:numPr>
          <w:ilvl w:val="1"/>
          <w:numId w:val="4"/>
        </w:numPr>
        <w:spacing w:after="0"/>
        <w:ind w:hanging="360"/>
      </w:pPr>
      <w:proofErr w:type="spellStart"/>
      <w:r>
        <w:t>Diagnosticul</w:t>
      </w:r>
      <w:proofErr w:type="spellEnd"/>
      <w:r>
        <w:t xml:space="preserve"> molecular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infecții</w:t>
      </w:r>
      <w:proofErr w:type="spellEnd"/>
      <w:r>
        <w:t xml:space="preserve">: </w:t>
      </w:r>
      <w:proofErr w:type="spellStart"/>
      <w:r>
        <w:t>principiu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. </w:t>
      </w:r>
    </w:p>
    <w:p w:rsidR="00624862" w:rsidRDefault="001A5913" w:rsidP="00740C0C">
      <w:pPr>
        <w:spacing w:after="44"/>
        <w:ind w:left="0" w:firstLine="0"/>
        <w:jc w:val="left"/>
      </w:pPr>
      <w:r>
        <w:t xml:space="preserve"> </w:t>
      </w:r>
    </w:p>
    <w:p w:rsidR="00624862" w:rsidRDefault="00D649EE">
      <w:pPr>
        <w:spacing w:after="0"/>
        <w:ind w:left="0" w:firstLine="0"/>
        <w:jc w:val="left"/>
        <w:rPr>
          <w:b/>
        </w:rPr>
      </w:pPr>
      <w:r w:rsidRPr="00D649EE">
        <w:rPr>
          <w:b/>
        </w:rPr>
        <w:t>BIBLIOGRAFIE</w:t>
      </w:r>
    </w:p>
    <w:p w:rsidR="00D649EE" w:rsidRDefault="00D649EE">
      <w:pPr>
        <w:spacing w:after="0"/>
        <w:ind w:left="0" w:firstLine="0"/>
        <w:jc w:val="left"/>
        <w:rPr>
          <w:b/>
        </w:rPr>
      </w:pPr>
    </w:p>
    <w:p w:rsidR="00740C0C" w:rsidRPr="00AD20BF" w:rsidRDefault="00740C0C" w:rsidP="00740C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  <w:szCs w:val="24"/>
          <w:lang w:val="ro-RO"/>
        </w:rPr>
      </w:pPr>
      <w:r w:rsidRPr="00AD20BF">
        <w:rPr>
          <w:b/>
          <w:bCs/>
          <w:szCs w:val="24"/>
          <w:lang w:val="ro-RO"/>
        </w:rPr>
        <w:t xml:space="preserve">Adrian Streinu-Cercel, Victoria Aramă, Petre Iacob Calistru. Boli Infecțioase – curs pentru studenți și medici rezidenți. </w:t>
      </w:r>
    </w:p>
    <w:p w:rsidR="00740C0C" w:rsidRDefault="00740C0C" w:rsidP="00740C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AD5763">
        <w:rPr>
          <w:szCs w:val="24"/>
          <w:lang w:val="ro-RO"/>
        </w:rPr>
        <w:t>Volumul 1, Editura Universitară ”Carol Davila”, 2019. ISBN 978-606-011-063-7 ; 978-606-011-081-1.</w:t>
      </w:r>
    </w:p>
    <w:p w:rsidR="00740C0C" w:rsidRPr="00740C0C" w:rsidRDefault="00740C0C" w:rsidP="00740C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AD5763">
        <w:rPr>
          <w:szCs w:val="24"/>
          <w:lang w:val="ro-RO"/>
        </w:rPr>
        <w:t>Volumul 2, Editura Universitară ”Carol Davila”, 2021. ISBN 978-606-011-063-7 ; 978-606-011-082-8.</w:t>
      </w:r>
    </w:p>
    <w:p w:rsidR="00740C0C" w:rsidRPr="00AD20BF" w:rsidRDefault="00740C0C" w:rsidP="00740C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  <w:szCs w:val="24"/>
          <w:lang w:val="ro-RO"/>
        </w:rPr>
      </w:pPr>
      <w:r w:rsidRPr="00AD20BF">
        <w:rPr>
          <w:b/>
          <w:bCs/>
          <w:szCs w:val="24"/>
          <w:lang w:val="ro-RO"/>
        </w:rPr>
        <w:t xml:space="preserve">Emanoil Ceaușu. Tratat de Boli Infecțioase. </w:t>
      </w:r>
    </w:p>
    <w:p w:rsidR="00740C0C" w:rsidRPr="00AD20BF" w:rsidRDefault="00740C0C" w:rsidP="00740C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AD20BF">
        <w:rPr>
          <w:szCs w:val="24"/>
          <w:lang w:val="ro-RO"/>
        </w:rPr>
        <w:t>Volumul 1, Editura Medicală, 2018. ISBN 978-973-39-0847-0</w:t>
      </w:r>
    </w:p>
    <w:p w:rsidR="00740C0C" w:rsidRPr="00AD20BF" w:rsidRDefault="00740C0C" w:rsidP="00740C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AD20BF">
        <w:rPr>
          <w:szCs w:val="24"/>
          <w:lang w:val="ro-RO"/>
        </w:rPr>
        <w:t>Volumul 2, Editura Medicală, 2020. ISBN 978-973-39-0877-7</w:t>
      </w:r>
    </w:p>
    <w:p w:rsidR="00740C0C" w:rsidRPr="00740C0C" w:rsidRDefault="00740C0C" w:rsidP="00740C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AD20BF">
        <w:rPr>
          <w:szCs w:val="24"/>
          <w:lang w:val="ro-RO"/>
        </w:rPr>
        <w:t>Volumul 3, Editura Medicală, 2024. ISBN 978-973-39-0948-4</w:t>
      </w:r>
      <w:bookmarkStart w:id="0" w:name="_GoBack"/>
      <w:bookmarkEnd w:id="0"/>
    </w:p>
    <w:p w:rsidR="00740C0C" w:rsidRPr="00AD20BF" w:rsidRDefault="00740C0C" w:rsidP="00740C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i/>
          <w:iCs/>
          <w:szCs w:val="24"/>
          <w:lang w:val="ro-RO"/>
        </w:rPr>
      </w:pPr>
      <w:r w:rsidRPr="00AD20BF">
        <w:rPr>
          <w:b/>
          <w:bCs/>
          <w:szCs w:val="24"/>
          <w:lang w:val="ro-RO"/>
        </w:rPr>
        <w:t>John E. Bennett. Raphael Dolin, Martin J. Blaser.  Mandell, Douglas and Bennett”s Principles and Practice of Infectious Diseases</w:t>
      </w:r>
      <w:r w:rsidRPr="00B42703">
        <w:rPr>
          <w:szCs w:val="24"/>
          <w:lang w:val="ro-RO"/>
        </w:rPr>
        <w:t xml:space="preserve">, 9th Edition, 2019, Elsevier, </w:t>
      </w:r>
      <w:r w:rsidRPr="00B42703">
        <w:rPr>
          <w:szCs w:val="24"/>
        </w:rPr>
        <w:t xml:space="preserve">ISBN: 978-0-323-48255-4 </w:t>
      </w:r>
      <w:r w:rsidRPr="00AD20BF">
        <w:rPr>
          <w:i/>
          <w:iCs/>
          <w:szCs w:val="24"/>
        </w:rPr>
        <w:t>(</w:t>
      </w:r>
      <w:proofErr w:type="spellStart"/>
      <w:r w:rsidRPr="00AD20BF">
        <w:rPr>
          <w:i/>
          <w:iCs/>
          <w:szCs w:val="24"/>
        </w:rPr>
        <w:t>numai</w:t>
      </w:r>
      <w:proofErr w:type="spellEnd"/>
      <w:r w:rsidRPr="00AD20BF">
        <w:rPr>
          <w:i/>
          <w:iCs/>
          <w:szCs w:val="24"/>
        </w:rPr>
        <w:t xml:space="preserve"> </w:t>
      </w:r>
      <w:proofErr w:type="spellStart"/>
      <w:r w:rsidRPr="00AD20BF">
        <w:rPr>
          <w:i/>
          <w:iCs/>
          <w:szCs w:val="24"/>
        </w:rPr>
        <w:t>pentru</w:t>
      </w:r>
      <w:proofErr w:type="spellEnd"/>
      <w:r w:rsidRPr="00AD20BF">
        <w:rPr>
          <w:i/>
          <w:iCs/>
          <w:szCs w:val="24"/>
        </w:rPr>
        <w:t xml:space="preserve"> </w:t>
      </w:r>
      <w:proofErr w:type="spellStart"/>
      <w:r w:rsidRPr="00AD20BF">
        <w:rPr>
          <w:i/>
          <w:iCs/>
          <w:szCs w:val="24"/>
        </w:rPr>
        <w:t>subiectele</w:t>
      </w:r>
      <w:proofErr w:type="spellEnd"/>
      <w:r w:rsidRPr="00AD20BF">
        <w:rPr>
          <w:i/>
          <w:iCs/>
          <w:szCs w:val="24"/>
        </w:rPr>
        <w:t xml:space="preserve"> din </w:t>
      </w:r>
      <w:proofErr w:type="spellStart"/>
      <w:r w:rsidRPr="00AD20BF">
        <w:rPr>
          <w:i/>
          <w:iCs/>
          <w:szCs w:val="24"/>
        </w:rPr>
        <w:t>tematică</w:t>
      </w:r>
      <w:proofErr w:type="spellEnd"/>
      <w:r w:rsidRPr="00AD20BF">
        <w:rPr>
          <w:i/>
          <w:iCs/>
          <w:szCs w:val="24"/>
        </w:rPr>
        <w:t xml:space="preserve"> care nu se </w:t>
      </w:r>
      <w:proofErr w:type="spellStart"/>
      <w:r w:rsidRPr="00AD20BF">
        <w:rPr>
          <w:i/>
          <w:iCs/>
          <w:szCs w:val="24"/>
        </w:rPr>
        <w:t>regăsesc</w:t>
      </w:r>
      <w:proofErr w:type="spellEnd"/>
      <w:r w:rsidRPr="00AD20BF">
        <w:rPr>
          <w:i/>
          <w:iCs/>
          <w:szCs w:val="24"/>
        </w:rPr>
        <w:t xml:space="preserve"> in </w:t>
      </w:r>
      <w:proofErr w:type="spellStart"/>
      <w:r w:rsidRPr="00AD20BF">
        <w:rPr>
          <w:i/>
          <w:iCs/>
          <w:szCs w:val="24"/>
        </w:rPr>
        <w:t>referințele</w:t>
      </w:r>
      <w:proofErr w:type="spellEnd"/>
      <w:r w:rsidRPr="00AD20BF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de la </w:t>
      </w:r>
      <w:proofErr w:type="spellStart"/>
      <w:r>
        <w:rPr>
          <w:i/>
          <w:iCs/>
          <w:szCs w:val="24"/>
        </w:rPr>
        <w:t>punctul</w:t>
      </w:r>
      <w:proofErr w:type="spellEnd"/>
      <w:r>
        <w:rPr>
          <w:i/>
          <w:iCs/>
          <w:szCs w:val="24"/>
        </w:rPr>
        <w:t xml:space="preserve"> 1</w:t>
      </w:r>
      <w:r w:rsidRPr="00AD20BF">
        <w:rPr>
          <w:i/>
          <w:iCs/>
          <w:szCs w:val="24"/>
        </w:rPr>
        <w:t xml:space="preserve"> </w:t>
      </w:r>
      <w:proofErr w:type="spellStart"/>
      <w:r w:rsidRPr="00AD20BF">
        <w:rPr>
          <w:i/>
          <w:iCs/>
          <w:szCs w:val="24"/>
        </w:rPr>
        <w:t>și</w:t>
      </w:r>
      <w:proofErr w:type="spellEnd"/>
      <w:r w:rsidRPr="00AD20BF">
        <w:rPr>
          <w:i/>
          <w:iCs/>
          <w:szCs w:val="24"/>
        </w:rPr>
        <w:t xml:space="preserve"> 2).</w:t>
      </w:r>
    </w:p>
    <w:p w:rsidR="00740C0C" w:rsidRPr="00A876A1" w:rsidRDefault="00740C0C" w:rsidP="00740C0C">
      <w:pPr>
        <w:autoSpaceDE w:val="0"/>
        <w:autoSpaceDN w:val="0"/>
        <w:adjustRightInd w:val="0"/>
        <w:spacing w:after="0"/>
        <w:ind w:left="0" w:firstLine="0"/>
        <w:rPr>
          <w:szCs w:val="24"/>
          <w:lang w:val="ro-RO"/>
        </w:rPr>
      </w:pPr>
    </w:p>
    <w:p w:rsidR="00740C0C" w:rsidRPr="00740C0C" w:rsidRDefault="00740C0C" w:rsidP="00740C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color w:val="auto"/>
          <w:szCs w:val="24"/>
          <w:lang w:val="ro-RO"/>
        </w:rPr>
      </w:pPr>
      <w:r w:rsidRPr="00AD20BF">
        <w:rPr>
          <w:b/>
          <w:bCs/>
          <w:szCs w:val="24"/>
          <w:lang w:val="ro-RO"/>
        </w:rPr>
        <w:t>Ghidul pentru prevenirea și limitarea fenomenului de rezistență la antimicrobiene (AMR) și a infecțiilor asociate asistenței medicale (IAAM) – Boli Infecțioase</w:t>
      </w:r>
      <w:r>
        <w:rPr>
          <w:szCs w:val="24"/>
          <w:lang w:val="ro-RO"/>
        </w:rPr>
        <w:t xml:space="preserve"> </w:t>
      </w:r>
      <w:r w:rsidRPr="00AD5763">
        <w:rPr>
          <w:szCs w:val="24"/>
          <w:lang w:val="ro-RO"/>
        </w:rPr>
        <w:t>accesat la adres</w:t>
      </w:r>
      <w:r>
        <w:rPr>
          <w:szCs w:val="24"/>
          <w:lang w:val="ro-RO"/>
        </w:rPr>
        <w:t>a:</w:t>
      </w:r>
      <w:r w:rsidRPr="00AD5763">
        <w:rPr>
          <w:szCs w:val="24"/>
          <w:lang w:val="ro-RO"/>
        </w:rPr>
        <w:t xml:space="preserve"> </w:t>
      </w:r>
      <w:hyperlink r:id="rId7" w:history="1">
        <w:r w:rsidRPr="00740C0C">
          <w:rPr>
            <w:rStyle w:val="Hyperlink"/>
            <w:color w:val="auto"/>
            <w:szCs w:val="24"/>
            <w:lang w:val="ro-RO"/>
          </w:rPr>
          <w:t>www.mateibals.ro/downloads/proiecte/Norvegia_2020/rezultate/6_ghid_bi.pdf</w:t>
        </w:r>
      </w:hyperlink>
      <w:r w:rsidRPr="00740C0C">
        <w:rPr>
          <w:color w:val="auto"/>
          <w:szCs w:val="24"/>
          <w:lang w:val="ro-RO"/>
        </w:rPr>
        <w:t xml:space="preserve">  </w:t>
      </w:r>
    </w:p>
    <w:p w:rsidR="00D649EE" w:rsidRDefault="00D649EE" w:rsidP="00D649EE">
      <w:pPr>
        <w:tabs>
          <w:tab w:val="left" w:pos="3135"/>
        </w:tabs>
        <w:autoSpaceDE w:val="0"/>
        <w:autoSpaceDN w:val="0"/>
        <w:adjustRightInd w:val="0"/>
        <w:spacing w:after="0"/>
        <w:rPr>
          <w:szCs w:val="24"/>
          <w:lang w:val="ro-RO"/>
        </w:rPr>
      </w:pPr>
      <w:r>
        <w:rPr>
          <w:szCs w:val="24"/>
          <w:lang w:val="ro-RO"/>
        </w:rPr>
        <w:tab/>
      </w:r>
    </w:p>
    <w:p w:rsidR="00D649EE" w:rsidRPr="00D649EE" w:rsidRDefault="00D649EE" w:rsidP="00740C0C">
      <w:pPr>
        <w:spacing w:after="0"/>
        <w:ind w:left="0" w:firstLine="720"/>
        <w:jc w:val="center"/>
        <w:rPr>
          <w:b/>
        </w:rPr>
      </w:pPr>
      <w:proofErr w:type="spellStart"/>
      <w:proofErr w:type="gramStart"/>
      <w:r w:rsidRPr="00D649EE">
        <w:rPr>
          <w:b/>
        </w:rPr>
        <w:t>ooooOOOOoooo</w:t>
      </w:r>
      <w:proofErr w:type="spellEnd"/>
      <w:proofErr w:type="gramEnd"/>
    </w:p>
    <w:sectPr w:rsidR="00D649EE" w:rsidRPr="00D649EE">
      <w:footerReference w:type="even" r:id="rId8"/>
      <w:footerReference w:type="default" r:id="rId9"/>
      <w:footerReference w:type="first" r:id="rId10"/>
      <w:pgSz w:w="12240" w:h="15840"/>
      <w:pgMar w:top="1442" w:right="1436" w:bottom="1470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B9" w:rsidRDefault="00E27BB9">
      <w:pPr>
        <w:spacing w:after="0"/>
      </w:pPr>
      <w:r>
        <w:separator/>
      </w:r>
    </w:p>
  </w:endnote>
  <w:endnote w:type="continuationSeparator" w:id="0">
    <w:p w:rsidR="00E27BB9" w:rsidRDefault="00E27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62" w:rsidRDefault="001A5913">
    <w:pPr>
      <w:spacing w:after="32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F81BD"/>
        <w:sz w:val="22"/>
      </w:rPr>
      <w:t>1</w:t>
    </w:r>
    <w:r>
      <w:rPr>
        <w:rFonts w:ascii="Calibri" w:eastAsia="Calibri" w:hAnsi="Calibri" w:cs="Calibri"/>
        <w:color w:val="4F81BD"/>
        <w:sz w:val="22"/>
      </w:rPr>
      <w:fldChar w:fldCharType="end"/>
    </w:r>
    <w:r>
      <w:rPr>
        <w:rFonts w:ascii="Calibri" w:eastAsia="Calibri" w:hAnsi="Calibri" w:cs="Calibri"/>
        <w:color w:val="4F81BD"/>
        <w:sz w:val="22"/>
      </w:rPr>
      <w:t xml:space="preserve"> </w:t>
    </w:r>
  </w:p>
  <w:p w:rsidR="00624862" w:rsidRDefault="001A5913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62" w:rsidRDefault="001A5913">
    <w:pPr>
      <w:spacing w:after="32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C0C" w:rsidRPr="00740C0C">
      <w:rPr>
        <w:rFonts w:ascii="Calibri" w:eastAsia="Calibri" w:hAnsi="Calibri" w:cs="Calibri"/>
        <w:noProof/>
        <w:color w:val="4F81BD"/>
        <w:sz w:val="22"/>
      </w:rPr>
      <w:t>3</w:t>
    </w:r>
    <w:r>
      <w:rPr>
        <w:rFonts w:ascii="Calibri" w:eastAsia="Calibri" w:hAnsi="Calibri" w:cs="Calibri"/>
        <w:color w:val="4F81BD"/>
        <w:sz w:val="22"/>
      </w:rPr>
      <w:fldChar w:fldCharType="end"/>
    </w:r>
    <w:r>
      <w:rPr>
        <w:rFonts w:ascii="Calibri" w:eastAsia="Calibri" w:hAnsi="Calibri" w:cs="Calibri"/>
        <w:color w:val="4F81BD"/>
        <w:sz w:val="22"/>
      </w:rPr>
      <w:t xml:space="preserve"> </w:t>
    </w:r>
  </w:p>
  <w:p w:rsidR="00624862" w:rsidRDefault="001A5913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62" w:rsidRDefault="001A5913">
    <w:pPr>
      <w:spacing w:after="32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F81BD"/>
        <w:sz w:val="22"/>
      </w:rPr>
      <w:t>1</w:t>
    </w:r>
    <w:r>
      <w:rPr>
        <w:rFonts w:ascii="Calibri" w:eastAsia="Calibri" w:hAnsi="Calibri" w:cs="Calibri"/>
        <w:color w:val="4F81BD"/>
        <w:sz w:val="22"/>
      </w:rPr>
      <w:fldChar w:fldCharType="end"/>
    </w:r>
    <w:r>
      <w:rPr>
        <w:rFonts w:ascii="Calibri" w:eastAsia="Calibri" w:hAnsi="Calibri" w:cs="Calibri"/>
        <w:color w:val="4F81BD"/>
        <w:sz w:val="22"/>
      </w:rPr>
      <w:t xml:space="preserve"> </w:t>
    </w:r>
  </w:p>
  <w:p w:rsidR="00624862" w:rsidRDefault="001A5913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B9" w:rsidRDefault="00E27BB9">
      <w:pPr>
        <w:spacing w:after="0"/>
      </w:pPr>
      <w:r>
        <w:separator/>
      </w:r>
    </w:p>
  </w:footnote>
  <w:footnote w:type="continuationSeparator" w:id="0">
    <w:p w:rsidR="00E27BB9" w:rsidRDefault="00E27B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750E"/>
    <w:multiLevelType w:val="hybridMultilevel"/>
    <w:tmpl w:val="D53CF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4D0E81"/>
    <w:multiLevelType w:val="hybridMultilevel"/>
    <w:tmpl w:val="49DE483E"/>
    <w:lvl w:ilvl="0" w:tplc="E07CB8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6F4C2">
      <w:start w:val="1"/>
      <w:numFmt w:val="decimal"/>
      <w:lvlRestart w:val="0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AB4FC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A3CA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2FC6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A28F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2C1F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4B26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6A33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332E1D"/>
    <w:multiLevelType w:val="hybridMultilevel"/>
    <w:tmpl w:val="38A46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703E9F"/>
    <w:multiLevelType w:val="hybridMultilevel"/>
    <w:tmpl w:val="1F60FAE4"/>
    <w:lvl w:ilvl="0" w:tplc="C81A3622">
      <w:start w:val="4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8390A">
      <w:start w:val="1"/>
      <w:numFmt w:val="lowerLetter"/>
      <w:lvlText w:val="%2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4BD8">
      <w:start w:val="1"/>
      <w:numFmt w:val="lowerRoman"/>
      <w:lvlText w:val="%3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C86A6">
      <w:start w:val="1"/>
      <w:numFmt w:val="decimal"/>
      <w:lvlText w:val="%4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2E164">
      <w:start w:val="1"/>
      <w:numFmt w:val="lowerLetter"/>
      <w:lvlText w:val="%5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4BB66">
      <w:start w:val="1"/>
      <w:numFmt w:val="lowerRoman"/>
      <w:lvlText w:val="%6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691A4">
      <w:start w:val="1"/>
      <w:numFmt w:val="decimal"/>
      <w:lvlText w:val="%7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28E98">
      <w:start w:val="1"/>
      <w:numFmt w:val="lowerLetter"/>
      <w:lvlText w:val="%8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4F002">
      <w:start w:val="1"/>
      <w:numFmt w:val="lowerRoman"/>
      <w:lvlText w:val="%9"/>
      <w:lvlJc w:val="left"/>
      <w:pPr>
        <w:ind w:left="7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717594"/>
    <w:multiLevelType w:val="hybridMultilevel"/>
    <w:tmpl w:val="0E7E6F86"/>
    <w:lvl w:ilvl="0" w:tplc="E196F796">
      <w:start w:val="5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010A8">
      <w:start w:val="2"/>
      <w:numFmt w:val="decimal"/>
      <w:lvlText w:val="%2.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01EDE">
      <w:start w:val="1"/>
      <w:numFmt w:val="lowerRoman"/>
      <w:lvlText w:val="%3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61204">
      <w:start w:val="1"/>
      <w:numFmt w:val="decimal"/>
      <w:lvlText w:val="%4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2B4B4">
      <w:start w:val="1"/>
      <w:numFmt w:val="lowerLetter"/>
      <w:lvlText w:val="%5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8E5D8">
      <w:start w:val="1"/>
      <w:numFmt w:val="lowerRoman"/>
      <w:lvlText w:val="%6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4CBD4">
      <w:start w:val="1"/>
      <w:numFmt w:val="decimal"/>
      <w:lvlText w:val="%7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EB6B4">
      <w:start w:val="1"/>
      <w:numFmt w:val="lowerLetter"/>
      <w:lvlText w:val="%8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60B64">
      <w:start w:val="1"/>
      <w:numFmt w:val="lowerRoman"/>
      <w:lvlText w:val="%9"/>
      <w:lvlJc w:val="left"/>
      <w:pPr>
        <w:ind w:left="7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D35AB2"/>
    <w:multiLevelType w:val="hybridMultilevel"/>
    <w:tmpl w:val="4C7CBA82"/>
    <w:lvl w:ilvl="0" w:tplc="8F6CCDC8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49EE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0672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4D1E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C4CD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F0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15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63D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4603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4D4235"/>
    <w:multiLevelType w:val="hybridMultilevel"/>
    <w:tmpl w:val="5608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62"/>
    <w:rsid w:val="001A5913"/>
    <w:rsid w:val="00395AF0"/>
    <w:rsid w:val="00624862"/>
    <w:rsid w:val="006669AF"/>
    <w:rsid w:val="00740C0C"/>
    <w:rsid w:val="00D649EE"/>
    <w:rsid w:val="00E2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108AF-E708-4475-A93B-8FFE34F2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2" w:line="240" w:lineRule="auto"/>
      <w:ind w:left="10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9EE"/>
    <w:pPr>
      <w:ind w:left="720"/>
      <w:contextualSpacing/>
    </w:pPr>
  </w:style>
  <w:style w:type="character" w:styleId="Hyperlink">
    <w:name w:val="Hyperlink"/>
    <w:uiPriority w:val="99"/>
    <w:unhideWhenUsed/>
    <w:rsid w:val="00D649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teibals.ro/downloads/proiecte/Norvegia_2020/rezultate/6_ghid_b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Violeta Sburlea</cp:lastModifiedBy>
  <cp:revision>4</cp:revision>
  <dcterms:created xsi:type="dcterms:W3CDTF">2025-11-26T10:49:00Z</dcterms:created>
  <dcterms:modified xsi:type="dcterms:W3CDTF">2025-11-27T14:25:00Z</dcterms:modified>
</cp:coreProperties>
</file>