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0F" w:rsidRPr="00CE18F9" w:rsidRDefault="00BD3C0F" w:rsidP="00BD3C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BD3C0F" w:rsidRPr="00CE18F9" w:rsidRDefault="00BD3C0F" w:rsidP="00BD3C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BD3C0F" w:rsidRPr="00CE18F9" w:rsidRDefault="00BD3C0F" w:rsidP="00BD3C0F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E18F9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r w:rsidR="00265812">
        <w:rPr>
          <w:rFonts w:ascii="Arial" w:hAnsi="Arial" w:cs="Arial"/>
          <w:b/>
          <w:sz w:val="24"/>
          <w:szCs w:val="24"/>
          <w:lang w:val="ro-RO"/>
        </w:rPr>
        <w:t xml:space="preserve">                              </w:t>
      </w:r>
      <w:r w:rsidRPr="00CE18F9">
        <w:rPr>
          <w:rFonts w:ascii="Arial" w:hAnsi="Arial" w:cs="Arial"/>
          <w:b/>
          <w:sz w:val="24"/>
          <w:szCs w:val="24"/>
          <w:lang w:val="ro-RO"/>
        </w:rPr>
        <w:t xml:space="preserve">Anexa nr. 2 </w:t>
      </w:r>
      <w:r w:rsidR="00265812">
        <w:rPr>
          <w:rFonts w:ascii="Arial" w:hAnsi="Arial" w:cs="Arial"/>
          <w:b/>
          <w:sz w:val="24"/>
          <w:szCs w:val="24"/>
          <w:lang w:val="ro-RO"/>
        </w:rPr>
        <w:t>la</w:t>
      </w:r>
      <w:r w:rsidR="00C05A3E">
        <w:rPr>
          <w:rFonts w:ascii="Arial" w:hAnsi="Arial" w:cs="Arial"/>
          <w:b/>
          <w:sz w:val="24"/>
          <w:szCs w:val="24"/>
          <w:lang w:val="ro-RO"/>
        </w:rPr>
        <w:t xml:space="preserve"> Anunțul de concurs nr. 28749</w:t>
      </w:r>
      <w:bookmarkStart w:id="0" w:name="_GoBack"/>
      <w:bookmarkEnd w:id="0"/>
      <w:r w:rsidRPr="00CE18F9">
        <w:rPr>
          <w:rFonts w:ascii="Arial" w:hAnsi="Arial" w:cs="Arial"/>
          <w:b/>
          <w:sz w:val="24"/>
          <w:szCs w:val="24"/>
          <w:lang w:val="ro-RO"/>
        </w:rPr>
        <w:t xml:space="preserve">/SOBC/ </w:t>
      </w:r>
      <w:r w:rsidR="00265812">
        <w:rPr>
          <w:rFonts w:ascii="Arial" w:hAnsi="Arial" w:cs="Arial"/>
          <w:b/>
          <w:sz w:val="24"/>
          <w:szCs w:val="24"/>
          <w:lang w:val="ro-RO"/>
        </w:rPr>
        <w:t>26</w:t>
      </w:r>
      <w:r w:rsidRPr="00CE18F9">
        <w:rPr>
          <w:rFonts w:ascii="Arial" w:hAnsi="Arial" w:cs="Arial"/>
          <w:b/>
          <w:sz w:val="24"/>
          <w:szCs w:val="24"/>
          <w:lang w:val="ro-RO"/>
        </w:rPr>
        <w:t>.04.2023</w:t>
      </w:r>
    </w:p>
    <w:p w:rsidR="00BD3C0F" w:rsidRPr="00CE18F9" w:rsidRDefault="00BD3C0F" w:rsidP="00BD3C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BD3C0F" w:rsidRPr="00CE18F9" w:rsidRDefault="00BD3C0F" w:rsidP="00BD3C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666666"/>
          <w:bdr w:val="none" w:sz="0" w:space="0" w:color="auto" w:frame="1"/>
          <w:lang w:val="ro-RO"/>
        </w:rPr>
      </w:pPr>
    </w:p>
    <w:p w:rsidR="00BD3C0F" w:rsidRPr="00CE18F9" w:rsidRDefault="00BD3C0F" w:rsidP="003624D9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E18F9">
        <w:rPr>
          <w:rFonts w:ascii="Arial" w:hAnsi="Arial" w:cs="Arial"/>
          <w:b/>
          <w:sz w:val="24"/>
          <w:szCs w:val="24"/>
          <w:lang w:val="ro-RO"/>
        </w:rPr>
        <w:t xml:space="preserve">BIBLIOGRAFIA ȘI TEMATICA </w:t>
      </w:r>
      <w:r w:rsidRPr="00CE18F9">
        <w:rPr>
          <w:rFonts w:ascii="Arial" w:hAnsi="Arial" w:cs="Arial"/>
          <w:lang w:val="ro-RO"/>
        </w:rPr>
        <w:br/>
      </w:r>
    </w:p>
    <w:p w:rsidR="00BD3C0F" w:rsidRPr="00CE18F9" w:rsidRDefault="00BD3C0F" w:rsidP="00BD3C0F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CE18F9">
        <w:rPr>
          <w:rStyle w:val="Strong"/>
          <w:rFonts w:ascii="Arial" w:hAnsi="Arial" w:cs="Arial"/>
          <w:bdr w:val="none" w:sz="0" w:space="0" w:color="auto" w:frame="1"/>
          <w:lang w:val="ro-RO"/>
        </w:rPr>
        <w:t>I. PROBA SCRISĂ</w:t>
      </w:r>
    </w:p>
    <w:p w:rsidR="00BD3C0F" w:rsidRPr="00CE18F9" w:rsidRDefault="003624D9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Etiologia bolilor infecțioase: clasificarea agenților microbieni;</w:t>
      </w:r>
    </w:p>
    <w:p w:rsidR="003624D9" w:rsidRPr="00CE18F9" w:rsidRDefault="003624D9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Mecanismele patogenezei microbiene. Modalități de interacțiune cu microorganismele: colonizare versus infecție, infecție latentă și reactivare;</w:t>
      </w:r>
    </w:p>
    <w:p w:rsidR="003624D9" w:rsidRPr="00CE18F9" w:rsidRDefault="003624D9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Mecanismele de apărare imună antiinfecțioasă;</w:t>
      </w:r>
    </w:p>
    <w:p w:rsidR="003624D9" w:rsidRPr="00CE18F9" w:rsidRDefault="003624D9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Infecțiile asociate imunodepresiilor. Abordarea diagnostică și terapeutică a neutropenicului febril;</w:t>
      </w:r>
    </w:p>
    <w:p w:rsidR="003624D9" w:rsidRPr="00CE18F9" w:rsidRDefault="003624D9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Vaccinuri, seruri și imunoglobine. Programul național de vaccinare;</w:t>
      </w:r>
    </w:p>
    <w:p w:rsidR="003624D9" w:rsidRPr="00CE18F9" w:rsidRDefault="003624D9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Diagnosticul pozitiv în bolile infecțioase;</w:t>
      </w:r>
    </w:p>
    <w:p w:rsidR="003624D9" w:rsidRPr="00CE18F9" w:rsidRDefault="003624D9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 xml:space="preserve">Sindroamele parainfecțioase majore: febra, detresa respiratorie acută a adultului, </w:t>
      </w:r>
      <w:r w:rsidR="00DE0A9A" w:rsidRPr="00CE18F9">
        <w:rPr>
          <w:rFonts w:ascii="Arial" w:hAnsi="Arial" w:cs="Arial"/>
          <w:lang w:val="ro-RO"/>
        </w:rPr>
        <w:t>șocul septic, insuficiența organică sistemică multiplă (MSOF);</w:t>
      </w:r>
    </w:p>
    <w:p w:rsidR="00DE0A9A" w:rsidRPr="00CE18F9" w:rsidRDefault="00DE0A9A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Principii de utilizare a antibioticelor;</w:t>
      </w:r>
    </w:p>
    <w:p w:rsidR="00DE0A9A" w:rsidRPr="00CE18F9" w:rsidRDefault="00DE0A9A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Principalele clase de antibiotice;</w:t>
      </w:r>
    </w:p>
    <w:p w:rsidR="00AE5283" w:rsidRPr="00CE18F9" w:rsidRDefault="00AE5283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Antibioticoterapia în situații particulare: antibioticoterapia la gravide, la femeia care alăptează, la pacienții cu insuficiență renală sau hepatică;</w:t>
      </w:r>
    </w:p>
    <w:p w:rsidR="00AE5283" w:rsidRPr="00CE18F9" w:rsidRDefault="00AE5283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Rezistența bacteriană la antibiotice: mecanisme, semnificație, modalități de evidențiere, impactul asupra tratamentului;</w:t>
      </w:r>
    </w:p>
    <w:p w:rsidR="00AE5283" w:rsidRPr="00CE18F9" w:rsidRDefault="00AE5283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Utilizarea judicioasă a antibioticelor: concept, implementare;</w:t>
      </w:r>
    </w:p>
    <w:p w:rsidR="00AE5283" w:rsidRPr="00CE18F9" w:rsidRDefault="00AE5283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Antibioticoprofilaxia;</w:t>
      </w:r>
    </w:p>
    <w:p w:rsidR="00AE5283" w:rsidRPr="00CE18F9" w:rsidRDefault="00AE5283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Terapia antivirală, antifungică, antiparazitară;</w:t>
      </w:r>
    </w:p>
    <w:p w:rsidR="00AE5283" w:rsidRPr="00CE18F9" w:rsidRDefault="00AE5283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Tratamentul patogenetic în bolile infecțioase;</w:t>
      </w:r>
    </w:p>
    <w:p w:rsidR="00AE5283" w:rsidRPr="00CE18F9" w:rsidRDefault="00AE5283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Febra prelungită de origine necunoscută;</w:t>
      </w:r>
    </w:p>
    <w:p w:rsidR="00AE5283" w:rsidRPr="00CE18F9" w:rsidRDefault="00AE5283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Bolile eruptive ale copilăriei: scarlatină, rubeolă, rujeolă, boala mână – gură – picior, megaleritemul infecțios;</w:t>
      </w:r>
    </w:p>
    <w:p w:rsidR="00AE5283" w:rsidRPr="00CE18F9" w:rsidRDefault="00AE5283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Patologia infecțioasă la gravide: managementul infecțiilor cu potențial de transmitere materno – fetală;</w:t>
      </w:r>
    </w:p>
    <w:p w:rsidR="00AE5283" w:rsidRPr="00CE18F9" w:rsidRDefault="00AE5283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t>Infecția cu virusurile herpes simplex 1 și 2 (HSV1 ȘI HSV2) și virusul varicelo – zosterian (VZV). iInfecțiile cu virusurile herpetice 6,7 și 8 (HHV 6,7,8);</w:t>
      </w:r>
    </w:p>
    <w:p w:rsidR="00AE5283" w:rsidRPr="00CE18F9" w:rsidRDefault="00AE5283" w:rsidP="003624D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Fonts w:ascii="Arial" w:hAnsi="Arial" w:cs="Arial"/>
          <w:lang w:val="ro-RO"/>
        </w:rPr>
      </w:pPr>
      <w:r w:rsidRPr="00CE18F9">
        <w:rPr>
          <w:rFonts w:ascii="Arial" w:hAnsi="Arial" w:cs="Arial"/>
          <w:lang w:val="ro-RO"/>
        </w:rPr>
        <w:lastRenderedPageBreak/>
        <w:t>Infecția cu citomegalovirul (CMV). Infecția cu virusul Epstein Barr (EBV);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Infecția urliană. Tusea compulsivă. Difteria;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IACRS: laringita acută, epiglotita, traheobronșita acută, acutizările bronșitelor cronice;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Gripa;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Infecția cu SARS-CoV-2;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Infecția stafilococică;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Infecția meningococică;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Infecția cu enterobacterii (cu excepția infecțiilor digestive;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 xml:space="preserve">Infecțiile cu bacili Gram negativi non-fermentativi: </w:t>
      </w:r>
      <w:r w:rsidRPr="00CE18F9">
        <w:rPr>
          <w:rFonts w:ascii="Arial" w:hAnsi="Arial" w:cs="Arial"/>
          <w:i/>
          <w:sz w:val="24"/>
          <w:szCs w:val="24"/>
          <w:u w:val="single"/>
        </w:rPr>
        <w:t>P aeruginosa, Acinetobacter spp;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Pneumoniile infecțioase. Supurațiile pulmonare. Pleureziile;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Infecțiile din sfera ORL: angine, stomatite acute, rinosinuzite, otite;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Meningita acută de etiologie bacteriană, virală, tuberculoasă și fungică. Encefalitele acute (infecțioase și postinfecțioase);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Mielitele, polinevritele și alte neuroviroze;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Sindroamele diareice: etiologie, patogenie, principii generale de diagnostic și tratament. Toxiinfecțiile alimentare. Infecțiile virale ale tractului digestiv;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Sindroamele diareice cu etiologie definită: infecția cu Clostridioides difficile, dizenteria bacteriană, holera, alte infecții bacteriene ale tractului digestiv;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Bolile cu mecanism toxinic: botulism, antrax, tetanos;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Zoonozele: trichineloza, bruceloza, rabia;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Hepatitele virale acute și cronice. Diagnosticul diferențial al icterelor;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Infecția cu virusul imunodeficienței umane (HIV);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Infecțiile de import: febrele hemoragice, malaria, febra tifoidă și paratifoidă, diareea călătorului, dizenteria ameobiană;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Leptospiroza. Boala Lyme. Febra recurentă;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Rickettsiozele: tifosul exantematic, febra butunoasă, febra Q;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Sepsisul;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Endocarditele infecțioase;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Infecțiile fungice sistemice;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Infecțiile tractului urinar: cistite, pielonefrita acută, abcesul renal, prostatita acută;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Infecțiile asociate asistenței medicale (IAAM): definiții, etiologie, tablou clinic;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Prevenirea IAAM: precauții universale în funcție de căile de transmitere, măsuri individuale și pachete de măsuri;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lastRenderedPageBreak/>
        <w:t>Pneumonia asociată asistenței medicale (inclusiv cea asociată ventilației mecanice);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Infecțiile plăgilor postoperatorii: profilaxie, diagnostic, tratatment;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Infecțiile intraabdominale;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Infecțiile osteoarticulare. Spondilodiscita. Artritele infecțioase;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Infecțiile cutanate și de țesuturi moi; Gangrena gazoasă și alte infecții cu clostridii. Piciorul diabetic;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Infecțiile în situații particulare: pacienții cu dispozitive medicale, consumatori de droguri iv, marii arși;</w:t>
      </w:r>
    </w:p>
    <w:p w:rsidR="00CE18F9" w:rsidRPr="00CE18F9" w:rsidRDefault="00CE18F9" w:rsidP="00CE18F9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4"/>
          <w:szCs w:val="24"/>
          <w:u w:val="single"/>
        </w:rPr>
      </w:pPr>
      <w:r w:rsidRPr="00CE18F9">
        <w:rPr>
          <w:rFonts w:ascii="Arial" w:hAnsi="Arial" w:cs="Arial"/>
          <w:sz w:val="24"/>
          <w:szCs w:val="24"/>
        </w:rPr>
        <w:t>Expunerea accidentală la sângele pacienților și măsurile necesare pentru prevenirea îmbolnăvirii personalului medical.</w:t>
      </w:r>
    </w:p>
    <w:p w:rsidR="00CE18F9" w:rsidRPr="00CE18F9" w:rsidRDefault="00CE18F9" w:rsidP="00CE18F9">
      <w:pPr>
        <w:rPr>
          <w:rFonts w:ascii="Arial" w:hAnsi="Arial" w:cs="Arial"/>
          <w:sz w:val="24"/>
          <w:szCs w:val="24"/>
          <w:lang w:val="ro-RO"/>
        </w:rPr>
      </w:pPr>
    </w:p>
    <w:p w:rsidR="00CE18F9" w:rsidRPr="00CE18F9" w:rsidRDefault="00CE18F9" w:rsidP="00CE18F9">
      <w:pPr>
        <w:rPr>
          <w:rFonts w:ascii="Arial" w:hAnsi="Arial" w:cs="Arial"/>
          <w:sz w:val="24"/>
          <w:szCs w:val="24"/>
          <w:lang w:val="ro-RO"/>
        </w:rPr>
      </w:pPr>
      <w:r w:rsidRPr="00CE18F9">
        <w:rPr>
          <w:rFonts w:ascii="Arial" w:hAnsi="Arial" w:cs="Arial"/>
          <w:sz w:val="24"/>
          <w:szCs w:val="24"/>
          <w:lang w:val="ro-RO"/>
        </w:rPr>
        <w:t>II. Proba practică (de laborator)</w:t>
      </w:r>
    </w:p>
    <w:p w:rsidR="00CE18F9" w:rsidRPr="00CE18F9" w:rsidRDefault="00CE18F9" w:rsidP="00CE18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LCR: indicații, principii de recoltare, interpretare;</w:t>
      </w:r>
    </w:p>
    <w:p w:rsidR="00CE18F9" w:rsidRPr="00CE18F9" w:rsidRDefault="00CE18F9" w:rsidP="00CE18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Hemocultura: indicații, principii de recoltare, interpretare;</w:t>
      </w:r>
    </w:p>
    <w:p w:rsidR="00CE18F9" w:rsidRPr="00CE18F9" w:rsidRDefault="00CE18F9" w:rsidP="00CE18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Urocultura: indicații, principii de recoltare, interpretare;</w:t>
      </w:r>
    </w:p>
    <w:p w:rsidR="00CE18F9" w:rsidRPr="00CE18F9" w:rsidRDefault="00CE18F9" w:rsidP="00CE18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Exudatul faringian: recoltare, interpretare;</w:t>
      </w:r>
    </w:p>
    <w:p w:rsidR="00CE18F9" w:rsidRPr="00CE18F9" w:rsidRDefault="00CE18F9" w:rsidP="00CE18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Examinarea puroiului: indicații, principii de recoltare, interpretare;</w:t>
      </w:r>
    </w:p>
    <w:p w:rsidR="00CE18F9" w:rsidRPr="00CE18F9" w:rsidRDefault="00CE18F9" w:rsidP="00CE18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Examenul materiilor fecale (coprocitogramă, coprocultură): indicații, principii de recoltare, interpretare;</w:t>
      </w:r>
    </w:p>
    <w:p w:rsidR="00CE18F9" w:rsidRPr="00CE18F9" w:rsidRDefault="00CE18F9" w:rsidP="00CE18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Antibiograma: metode, interpretare;</w:t>
      </w:r>
    </w:p>
    <w:p w:rsidR="00CE18F9" w:rsidRPr="00CE18F9" w:rsidRDefault="00CE18F9" w:rsidP="00CE18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Testele serologice: principii, metode, interpretare;</w:t>
      </w:r>
    </w:p>
    <w:p w:rsidR="00CE18F9" w:rsidRPr="00CE18F9" w:rsidRDefault="00CE18F9" w:rsidP="00CE18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Examinarea imagistică a plămânului: interpretarea unei radiografii sau a unui CT pulmonar;</w:t>
      </w:r>
    </w:p>
    <w:p w:rsidR="00CE18F9" w:rsidRPr="00CE18F9" w:rsidRDefault="00CE18F9" w:rsidP="00CE18F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Doagnosticul molecular în infecții.</w:t>
      </w:r>
    </w:p>
    <w:p w:rsidR="00CE18F9" w:rsidRPr="00CE18F9" w:rsidRDefault="00CE18F9" w:rsidP="00CE18F9">
      <w:pPr>
        <w:rPr>
          <w:rFonts w:ascii="Arial" w:hAnsi="Arial" w:cs="Arial"/>
          <w:sz w:val="24"/>
          <w:szCs w:val="24"/>
          <w:lang w:val="ro-RO"/>
        </w:rPr>
      </w:pPr>
    </w:p>
    <w:p w:rsidR="00CE18F9" w:rsidRPr="00587540" w:rsidRDefault="00CE18F9" w:rsidP="00CE18F9">
      <w:pPr>
        <w:rPr>
          <w:rFonts w:ascii="Arial" w:hAnsi="Arial" w:cs="Arial"/>
          <w:b/>
          <w:sz w:val="24"/>
          <w:szCs w:val="24"/>
          <w:lang w:val="ro-RO"/>
        </w:rPr>
      </w:pPr>
      <w:r w:rsidRPr="00587540">
        <w:rPr>
          <w:rFonts w:ascii="Arial" w:hAnsi="Arial" w:cs="Arial"/>
          <w:b/>
          <w:sz w:val="24"/>
          <w:szCs w:val="24"/>
          <w:lang w:val="ro-RO"/>
        </w:rPr>
        <w:t>BIBLIOGRAFIE:</w:t>
      </w:r>
    </w:p>
    <w:p w:rsidR="00CE18F9" w:rsidRPr="00CE18F9" w:rsidRDefault="00CE18F9" w:rsidP="00CE18F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Adrian Streinu – Cercel, Victoria Aramă, Petre Iacob Calistru. Boli infecțioase – curs pentru studenți și medici rezidenți, Volumul 1, Editura Universitară ”Carol Davila” 2019. ISBN 978-606-011-063-7; 978-606-011-081-1.</w:t>
      </w:r>
    </w:p>
    <w:p w:rsidR="00CE18F9" w:rsidRPr="00CE18F9" w:rsidRDefault="00CE18F9" w:rsidP="00CE18F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Adrian Streinu – Cercel, Victoria Aramă, Petre Iacob Calistru. Boli infecțioase – curs pentru studenți și medici rezidenți, Volumul 2, Editura Universitară ”Carol Davila” 2021. ISBN 978-606-011-063-7; 978-606-011-082-8.</w:t>
      </w:r>
    </w:p>
    <w:p w:rsidR="00CE18F9" w:rsidRPr="00CE18F9" w:rsidRDefault="00CE18F9" w:rsidP="00CE18F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lastRenderedPageBreak/>
        <w:t>Emanoil Ceaușu. Tratat de boli infecțioase. Volumul 1, Editura Medicală 2018. ISBN 978-973-39-0847-0.</w:t>
      </w:r>
    </w:p>
    <w:p w:rsidR="00CE18F9" w:rsidRPr="00CE18F9" w:rsidRDefault="00CE18F9" w:rsidP="00CE18F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Emanoil Ceaușu. Tratat de boli infecțioase. Volumul 2.Editura Medicală. 2020. ISBN 978-973-39-0877-7.</w:t>
      </w:r>
    </w:p>
    <w:p w:rsidR="00CE18F9" w:rsidRPr="00CE18F9" w:rsidRDefault="00CE18F9" w:rsidP="00CE18F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Dennis L. Kasper, Anthony S. Fauci. Harrison Boli Infecțioase. Ed2. Editura All. 2020. ISBN 978-606-587-431-2.</w:t>
      </w:r>
    </w:p>
    <w:p w:rsidR="00CE18F9" w:rsidRPr="00CE18F9" w:rsidRDefault="00CE18F9" w:rsidP="00CE18F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Feather A., Randall D., Waterhouse Mona. Kumar&amp;Clark Medicină clinică. Ed a-10-a. Editura Hipocrate. 2021. ISBN 978-606-95178-0-2.</w:t>
      </w:r>
    </w:p>
    <w:p w:rsidR="00CE18F9" w:rsidRPr="00CE18F9" w:rsidRDefault="00CE18F9" w:rsidP="00CE18F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 xml:space="preserve">Ordinul Ministrului Sănătății nr. 1101 din 30 septembrie 2016 privind aprobarea Normelor de supraveghere, prevenire și limitare a infecțiilor associate asistenței medicale în unitățile sanitare. Monitorul Oficial, Partea I nr. 791 din 07 octombrie 2016, accesat la: </w:t>
      </w:r>
      <w:hyperlink r:id="rId7" w:history="1">
        <w:r w:rsidRPr="00CE18F9">
          <w:rPr>
            <w:rStyle w:val="Hyperlink"/>
            <w:rFonts w:ascii="Arial" w:hAnsi="Arial" w:cs="Arial"/>
            <w:sz w:val="24"/>
            <w:szCs w:val="24"/>
          </w:rPr>
          <w:t>https://www.snpc.ro/Legi/ordin%201101.pdf</w:t>
        </w:r>
      </w:hyperlink>
    </w:p>
    <w:p w:rsidR="00CE18F9" w:rsidRPr="00CE18F9" w:rsidRDefault="00CE18F9" w:rsidP="00CE18F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E18F9">
        <w:rPr>
          <w:rFonts w:ascii="Arial" w:hAnsi="Arial" w:cs="Arial"/>
          <w:sz w:val="24"/>
          <w:szCs w:val="24"/>
        </w:rPr>
        <w:t>Ghidul pentru prevenirea și limitarea fenomenului de rezistență la antimicrobiene (AMR) și a infecțiilor associate asistenței medicale (IAAM) – Boli infecțioase, Epidemiologie, Microbiologie, accesate la adresele:</w:t>
      </w:r>
    </w:p>
    <w:p w:rsidR="00CE18F9" w:rsidRPr="00CE18F9" w:rsidRDefault="00C05A3E" w:rsidP="00CE18F9">
      <w:pPr>
        <w:pStyle w:val="ListParagraph"/>
        <w:rPr>
          <w:rFonts w:ascii="Arial" w:hAnsi="Arial" w:cs="Arial"/>
          <w:sz w:val="24"/>
          <w:szCs w:val="24"/>
        </w:rPr>
      </w:pPr>
      <w:hyperlink r:id="rId8" w:history="1">
        <w:r w:rsidR="00CE18F9" w:rsidRPr="00CE18F9">
          <w:rPr>
            <w:rStyle w:val="Hyperlink"/>
            <w:rFonts w:ascii="Arial" w:hAnsi="Arial" w:cs="Arial"/>
            <w:sz w:val="24"/>
            <w:szCs w:val="24"/>
          </w:rPr>
          <w:t>www.mateibals.ro/downloads/proiecte/Norvegia_2020/rezultate/4_ghid_micro.pdf</w:t>
        </w:r>
      </w:hyperlink>
    </w:p>
    <w:p w:rsidR="00CE18F9" w:rsidRPr="00CE18F9" w:rsidRDefault="00C05A3E" w:rsidP="00CE18F9">
      <w:pPr>
        <w:pStyle w:val="ListParagraph"/>
        <w:rPr>
          <w:rFonts w:ascii="Arial" w:hAnsi="Arial" w:cs="Arial"/>
          <w:sz w:val="24"/>
          <w:szCs w:val="24"/>
        </w:rPr>
      </w:pPr>
      <w:hyperlink r:id="rId9" w:history="1">
        <w:r w:rsidR="00CE18F9" w:rsidRPr="00CE18F9">
          <w:rPr>
            <w:rStyle w:val="Hyperlink"/>
            <w:rFonts w:ascii="Arial" w:hAnsi="Arial" w:cs="Arial"/>
            <w:sz w:val="24"/>
            <w:szCs w:val="24"/>
          </w:rPr>
          <w:t>www.mateibals.ro/downloads/proiecte/Norvegia_2020/rezultate/5_ghid_epi.pdf</w:t>
        </w:r>
      </w:hyperlink>
    </w:p>
    <w:p w:rsidR="00CE18F9" w:rsidRPr="00CE18F9" w:rsidRDefault="00C05A3E" w:rsidP="00CE18F9">
      <w:pPr>
        <w:pStyle w:val="ListParagraph"/>
        <w:rPr>
          <w:rFonts w:ascii="Arial" w:hAnsi="Arial" w:cs="Arial"/>
          <w:sz w:val="24"/>
          <w:szCs w:val="24"/>
        </w:rPr>
      </w:pPr>
      <w:hyperlink r:id="rId10" w:history="1">
        <w:r w:rsidR="00CE18F9" w:rsidRPr="00CE18F9">
          <w:rPr>
            <w:rStyle w:val="Hyperlink"/>
            <w:rFonts w:ascii="Arial" w:hAnsi="Arial" w:cs="Arial"/>
            <w:sz w:val="24"/>
            <w:szCs w:val="24"/>
          </w:rPr>
          <w:t>www.mateibals.ro/downloads/proiecte/Norvegia_2020/rezultate/6_ghid_bi.pdf</w:t>
        </w:r>
      </w:hyperlink>
    </w:p>
    <w:p w:rsidR="00BD3C0F" w:rsidRPr="00CE18F9" w:rsidRDefault="00BD3C0F" w:rsidP="00BD3C0F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BD3C0F" w:rsidRPr="00CE18F9" w:rsidRDefault="00BD3C0F" w:rsidP="00BD3C0F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BD3C0F" w:rsidRPr="00CE18F9" w:rsidRDefault="00BD3C0F" w:rsidP="00BD3C0F">
      <w:pPr>
        <w:rPr>
          <w:rFonts w:ascii="Arial" w:hAnsi="Arial" w:cs="Arial"/>
          <w:color w:val="FF0000"/>
          <w:sz w:val="24"/>
          <w:szCs w:val="24"/>
          <w:lang w:val="ro-RO"/>
        </w:rPr>
      </w:pPr>
    </w:p>
    <w:p w:rsidR="004E74EE" w:rsidRPr="00CE18F9" w:rsidRDefault="004E74EE">
      <w:pPr>
        <w:rPr>
          <w:color w:val="FF0000"/>
          <w:lang w:val="ro-RO"/>
        </w:rPr>
      </w:pPr>
    </w:p>
    <w:sectPr w:rsidR="004E74EE" w:rsidRPr="00CE18F9" w:rsidSect="00865CB6">
      <w:headerReference w:type="default" r:id="rId11"/>
      <w:footerReference w:type="default" r:id="rId12"/>
      <w:pgSz w:w="12240" w:h="15840"/>
      <w:pgMar w:top="1440" w:right="144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C26" w:rsidRDefault="002E2D9C">
      <w:pPr>
        <w:spacing w:after="0" w:line="240" w:lineRule="auto"/>
      </w:pPr>
      <w:r>
        <w:separator/>
      </w:r>
    </w:p>
  </w:endnote>
  <w:endnote w:type="continuationSeparator" w:id="0">
    <w:p w:rsidR="00251C26" w:rsidRDefault="002E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B6" w:rsidRPr="00865CB6" w:rsidRDefault="00DE0A9A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Times New Roman" w:hAnsi="Arial" w:cs="Arial"/>
        <w:noProof/>
        <w:sz w:val="18"/>
        <w:szCs w:val="18"/>
        <w:lang w:val="en-GB" w:eastAsia="en-GB"/>
      </w:rPr>
      <w:drawing>
        <wp:inline distT="0" distB="0" distL="0" distR="0" wp14:anchorId="1AA739AF" wp14:editId="1C5CB5FC">
          <wp:extent cx="5724525" cy="7620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5CB6" w:rsidRPr="00865CB6" w:rsidRDefault="00DE0A9A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Penitenciarul Spital Târgu Ocna</w:t>
    </w:r>
  </w:p>
  <w:p w:rsidR="00865CB6" w:rsidRPr="00865CB6" w:rsidRDefault="00DE0A9A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Adresa: Str. Crizantemelor nr. 9, loc. Târgu-Ocna, jud. Bacău</w:t>
    </w:r>
  </w:p>
  <w:p w:rsidR="00865CB6" w:rsidRPr="00865CB6" w:rsidRDefault="00DE0A9A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Telefon: 0234 344.124 / 0234 344.127 / 0741 265 818</w:t>
    </w:r>
  </w:p>
  <w:p w:rsidR="00865CB6" w:rsidRPr="00865CB6" w:rsidRDefault="00DE0A9A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Fax. 0234 344.126</w:t>
    </w:r>
  </w:p>
  <w:p w:rsidR="00865CB6" w:rsidRPr="00865CB6" w:rsidRDefault="00DE0A9A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Web: anp.gov.ro</w:t>
    </w:r>
  </w:p>
  <w:p w:rsidR="00865CB6" w:rsidRPr="00865CB6" w:rsidRDefault="00DE0A9A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e-mail: sptgocna@anp.gov.ro</w:t>
    </w:r>
  </w:p>
  <w:p w:rsidR="00865CB6" w:rsidRDefault="00C05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C26" w:rsidRDefault="002E2D9C">
      <w:pPr>
        <w:spacing w:after="0" w:line="240" w:lineRule="auto"/>
      </w:pPr>
      <w:r>
        <w:separator/>
      </w:r>
    </w:p>
  </w:footnote>
  <w:footnote w:type="continuationSeparator" w:id="0">
    <w:p w:rsidR="00251C26" w:rsidRDefault="002E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DE0A9A" w:rsidP="00375B9F">
    <w:pPr>
      <w:pStyle w:val="Header"/>
      <w:jc w:val="center"/>
    </w:pPr>
    <w:r w:rsidRPr="00C13BB2">
      <w:rPr>
        <w:noProof/>
        <w:lang w:val="en-GB" w:eastAsia="en-GB"/>
      </w:rPr>
      <w:drawing>
        <wp:inline distT="0" distB="0" distL="0" distR="0" wp14:anchorId="098538D0" wp14:editId="56E141D4">
          <wp:extent cx="5943600" cy="1096847"/>
          <wp:effectExtent l="0" t="0" r="0" b="8255"/>
          <wp:docPr id="2" name="Picture 2" descr="stemaforma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forma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09" b="1140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96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441A"/>
    <w:multiLevelType w:val="hybridMultilevel"/>
    <w:tmpl w:val="981CE7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032"/>
    <w:multiLevelType w:val="hybridMultilevel"/>
    <w:tmpl w:val="CD3C2862"/>
    <w:lvl w:ilvl="0" w:tplc="0418000F">
      <w:start w:val="1"/>
      <w:numFmt w:val="decimal"/>
      <w:lvlText w:val="%1."/>
      <w:lvlJc w:val="left"/>
      <w:pPr>
        <w:ind w:left="783" w:hanging="360"/>
      </w:pPr>
    </w:lvl>
    <w:lvl w:ilvl="1" w:tplc="04180019" w:tentative="1">
      <w:start w:val="1"/>
      <w:numFmt w:val="lowerLetter"/>
      <w:lvlText w:val="%2."/>
      <w:lvlJc w:val="left"/>
      <w:pPr>
        <w:ind w:left="1503" w:hanging="360"/>
      </w:pPr>
    </w:lvl>
    <w:lvl w:ilvl="2" w:tplc="0418001B" w:tentative="1">
      <w:start w:val="1"/>
      <w:numFmt w:val="lowerRoman"/>
      <w:lvlText w:val="%3."/>
      <w:lvlJc w:val="right"/>
      <w:pPr>
        <w:ind w:left="2223" w:hanging="180"/>
      </w:pPr>
    </w:lvl>
    <w:lvl w:ilvl="3" w:tplc="0418000F" w:tentative="1">
      <w:start w:val="1"/>
      <w:numFmt w:val="decimal"/>
      <w:lvlText w:val="%4."/>
      <w:lvlJc w:val="left"/>
      <w:pPr>
        <w:ind w:left="2943" w:hanging="360"/>
      </w:pPr>
    </w:lvl>
    <w:lvl w:ilvl="4" w:tplc="04180019" w:tentative="1">
      <w:start w:val="1"/>
      <w:numFmt w:val="lowerLetter"/>
      <w:lvlText w:val="%5."/>
      <w:lvlJc w:val="left"/>
      <w:pPr>
        <w:ind w:left="3663" w:hanging="360"/>
      </w:pPr>
    </w:lvl>
    <w:lvl w:ilvl="5" w:tplc="0418001B" w:tentative="1">
      <w:start w:val="1"/>
      <w:numFmt w:val="lowerRoman"/>
      <w:lvlText w:val="%6."/>
      <w:lvlJc w:val="right"/>
      <w:pPr>
        <w:ind w:left="4383" w:hanging="180"/>
      </w:pPr>
    </w:lvl>
    <w:lvl w:ilvl="6" w:tplc="0418000F" w:tentative="1">
      <w:start w:val="1"/>
      <w:numFmt w:val="decimal"/>
      <w:lvlText w:val="%7."/>
      <w:lvlJc w:val="left"/>
      <w:pPr>
        <w:ind w:left="5103" w:hanging="360"/>
      </w:pPr>
    </w:lvl>
    <w:lvl w:ilvl="7" w:tplc="04180019" w:tentative="1">
      <w:start w:val="1"/>
      <w:numFmt w:val="lowerLetter"/>
      <w:lvlText w:val="%8."/>
      <w:lvlJc w:val="left"/>
      <w:pPr>
        <w:ind w:left="5823" w:hanging="360"/>
      </w:pPr>
    </w:lvl>
    <w:lvl w:ilvl="8" w:tplc="0418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4C2913D9"/>
    <w:multiLevelType w:val="hybridMultilevel"/>
    <w:tmpl w:val="302461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0F"/>
    <w:rsid w:val="00251C26"/>
    <w:rsid w:val="00265812"/>
    <w:rsid w:val="002E2D9C"/>
    <w:rsid w:val="003624D9"/>
    <w:rsid w:val="004E74EE"/>
    <w:rsid w:val="00587540"/>
    <w:rsid w:val="00AE5283"/>
    <w:rsid w:val="00BD3C0F"/>
    <w:rsid w:val="00C05A3E"/>
    <w:rsid w:val="00CE18F9"/>
    <w:rsid w:val="00D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5E82"/>
  <w15:chartTrackingRefBased/>
  <w15:docId w15:val="{AFFC6D77-6AD0-423C-B30F-81AE6346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C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3C0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D3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C0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3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C0F"/>
    <w:rPr>
      <w:lang w:val="en-US"/>
    </w:rPr>
  </w:style>
  <w:style w:type="paragraph" w:styleId="ListParagraph">
    <w:name w:val="List Paragraph"/>
    <w:basedOn w:val="Normal"/>
    <w:uiPriority w:val="34"/>
    <w:qFormat/>
    <w:rsid w:val="00CE18F9"/>
    <w:pPr>
      <w:spacing w:after="200" w:line="276" w:lineRule="auto"/>
      <w:ind w:left="720"/>
      <w:contextualSpacing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E1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ibals.ro/downloads/proiecte/Norvegia_2020/rezultate/4_ghid_micro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npc.ro/Legi/ordin%201101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ateibals.ro/downloads/proiecte/Norvegia_2020/rezultate/6_ghid_b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eibals.ro/downloads/proiecte/Norvegia_2020/rezultate/5_ghid_epi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Cristinel Onofrei</dc:creator>
  <cp:keywords/>
  <dc:description/>
  <cp:lastModifiedBy>Cristinel Onofrei</cp:lastModifiedBy>
  <cp:revision>10</cp:revision>
  <cp:lastPrinted>2023-04-26T06:11:00Z</cp:lastPrinted>
  <dcterms:created xsi:type="dcterms:W3CDTF">2023-04-25T10:10:00Z</dcterms:created>
  <dcterms:modified xsi:type="dcterms:W3CDTF">2023-04-26T06:11:00Z</dcterms:modified>
</cp:coreProperties>
</file>